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372D71A2">
      <w:pPr>
        <w:pStyle w:val="Normal"/>
      </w:pPr>
      <w:r w:rsidR="4863492D">
        <w:drawing>
          <wp:inline wp14:editId="779AA9A8" wp14:anchorId="762F0A3A">
            <wp:extent cx="9134476"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d8ae262774ae40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34476"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56C85564" w14:paraId="4261E927" w14:textId="77777777">
        <w:trPr>
          <w:trHeight w:val="300"/>
        </w:trPr>
        <w:tc>
          <w:tcPr>
            <w:tcW w:w="14526" w:type="dxa"/>
            <w:shd w:val="clear" w:color="auto" w:fill="385623" w:themeFill="accent6" w:themeFillShade="80"/>
            <w:tcMar/>
          </w:tcPr>
          <w:p w:rsidR="7BE22A8E" w:rsidP="000BC967" w:rsidRDefault="7BE22A8E" w14:paraId="69C96B56" w14:textId="0F3EBA3B">
            <w:pPr>
              <w:spacing w:line="259" w:lineRule="auto"/>
              <w:jc w:val="center"/>
              <w:rPr>
                <w:b w:val="1"/>
                <w:bCs w:val="1"/>
                <w:sz w:val="44"/>
                <w:szCs w:val="44"/>
              </w:rPr>
            </w:pPr>
            <w:r w:rsidRPr="62A92735" w:rsidR="5FCC4BC2">
              <w:rPr>
                <w:b w:val="1"/>
                <w:bCs w:val="1"/>
                <w:sz w:val="44"/>
                <w:szCs w:val="44"/>
              </w:rPr>
              <w:t>Hotel &amp; Restaurant Managment HRM100</w:t>
            </w:r>
            <w:r>
              <w:br/>
            </w:r>
            <w:r w:rsidRPr="62A92735" w:rsidR="7BE22A8E">
              <w:rPr>
                <w:b w:val="1"/>
                <w:bCs w:val="1"/>
                <w:sz w:val="44"/>
                <w:szCs w:val="44"/>
              </w:rPr>
              <w:t>202</w:t>
            </w:r>
            <w:r w:rsidRPr="62A92735" w:rsidR="5E8C7544">
              <w:rPr>
                <w:b w:val="1"/>
                <w:bCs w:val="1"/>
                <w:sz w:val="44"/>
                <w:szCs w:val="44"/>
              </w:rPr>
              <w:t>2</w:t>
            </w:r>
            <w:r w:rsidRPr="62A92735" w:rsidR="7BE22A8E">
              <w:rPr>
                <w:b w:val="1"/>
                <w:bCs w:val="1"/>
                <w:sz w:val="44"/>
                <w:szCs w:val="44"/>
              </w:rPr>
              <w:t>-202</w:t>
            </w:r>
            <w:r w:rsidRPr="62A92735" w:rsidR="60F72DCB">
              <w:rPr>
                <w:b w:val="1"/>
                <w:bCs w:val="1"/>
                <w:sz w:val="44"/>
                <w:szCs w:val="44"/>
              </w:rPr>
              <w:t>3</w:t>
            </w:r>
            <w:r w:rsidRPr="62A92735" w:rsidR="7BE22A8E">
              <w:rPr>
                <w:b w:val="1"/>
                <w:bCs w:val="1"/>
                <w:sz w:val="44"/>
                <w:szCs w:val="44"/>
              </w:rPr>
              <w:t xml:space="preserve"> Assessment Report</w:t>
            </w:r>
          </w:p>
        </w:tc>
      </w:tr>
      <w:tr w:rsidR="7DB37E02" w:rsidTr="56C85564" w14:paraId="05941C70" w14:textId="77777777">
        <w:trPr>
          <w:trHeight w:val="300"/>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62A92735"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62A92735" w:rsidRDefault="04E8A730" w14:paraId="7CC70936" w14:textId="6A68E2F3">
            <w:pPr>
              <w:pStyle w:val="Normal"/>
              <w:jc w:val="center"/>
            </w:pPr>
            <w:r w:rsidR="181AD742">
              <w:drawing>
                <wp:inline wp14:editId="71B09CC0" wp14:anchorId="3BF23AD4">
                  <wp:extent cx="8162926" cy="1504950"/>
                  <wp:effectExtent l="0" t="0" r="0" b="0"/>
                  <wp:docPr id="494913581" name="" title=""/>
                  <wp:cNvGraphicFramePr>
                    <a:graphicFrameLocks noChangeAspect="1"/>
                  </wp:cNvGraphicFramePr>
                  <a:graphic>
                    <a:graphicData uri="http://schemas.openxmlformats.org/drawingml/2006/picture">
                      <pic:pic>
                        <pic:nvPicPr>
                          <pic:cNvPr id="0" name=""/>
                          <pic:cNvPicPr/>
                        </pic:nvPicPr>
                        <pic:blipFill>
                          <a:blip r:embed="R71e1e09ec7034220">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56C85564" w14:paraId="3F6BBCF2" w14:textId="77777777">
        <w:trPr>
          <w:trHeight w:val="300"/>
        </w:trPr>
        <w:tc>
          <w:tcPr>
            <w:tcW w:w="14526" w:type="dxa"/>
            <w:shd w:val="clear" w:color="auto" w:fill="FFC000" w:themeFill="accent4"/>
            <w:tcMar/>
          </w:tcPr>
          <w:p w:rsidR="2F318F82" w:rsidP="6754B86D" w:rsidRDefault="2F318F82" w14:paraId="2656C218" w14:textId="2211600D">
            <w:pPr>
              <w:pStyle w:val="Normal"/>
              <w:jc w:val="center"/>
              <w:rPr>
                <w:rFonts w:ascii="Times New Roman" w:hAnsi="Times New Roman" w:eastAsia="Times New Roman" w:cs="Times New Roman"/>
                <w:b w:val="1"/>
                <w:bCs w:val="1"/>
                <w:color w:val="000000" w:themeColor="text1"/>
                <w:sz w:val="30"/>
                <w:szCs w:val="30"/>
              </w:rPr>
            </w:pPr>
            <w:r w:rsidRPr="62A92735"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62A92735" w:rsidR="6FF566F6">
              <w:rPr>
                <w:rFonts w:ascii="Times New Roman" w:hAnsi="Times New Roman" w:eastAsia="Times New Roman" w:cs="Times New Roman"/>
                <w:b w:val="1"/>
                <w:bCs w:val="1"/>
                <w:color w:val="000000" w:themeColor="text1" w:themeTint="FF" w:themeShade="FF"/>
                <w:sz w:val="30"/>
                <w:szCs w:val="30"/>
              </w:rPr>
              <w:t xml:space="preserve"> Oct. </w:t>
            </w:r>
            <w:r w:rsidRPr="62A92735" w:rsidR="10B7EA6D">
              <w:rPr>
                <w:rFonts w:ascii="Times New Roman" w:hAnsi="Times New Roman" w:eastAsia="Times New Roman" w:cs="Times New Roman"/>
                <w:b w:val="1"/>
                <w:bCs w:val="1"/>
                <w:color w:val="000000" w:themeColor="text1" w:themeTint="FF" w:themeShade="FF"/>
                <w:sz w:val="30"/>
                <w:szCs w:val="30"/>
              </w:rPr>
              <w:t>13</w:t>
            </w:r>
            <w:r w:rsidRPr="62A92735" w:rsidR="6FF566F6">
              <w:rPr>
                <w:rFonts w:ascii="Times New Roman" w:hAnsi="Times New Roman" w:eastAsia="Times New Roman" w:cs="Times New Roman"/>
                <w:b w:val="1"/>
                <w:bCs w:val="1"/>
                <w:color w:val="000000" w:themeColor="text1" w:themeTint="FF" w:themeShade="FF"/>
                <w:sz w:val="30"/>
                <w:szCs w:val="30"/>
              </w:rPr>
              <w:t>, 202</w:t>
            </w:r>
            <w:r w:rsidRPr="62A92735" w:rsidR="1719583D">
              <w:rPr>
                <w:rFonts w:ascii="Times New Roman" w:hAnsi="Times New Roman" w:eastAsia="Times New Roman" w:cs="Times New Roman"/>
                <w:b w:val="1"/>
                <w:bCs w:val="1"/>
                <w:color w:val="000000" w:themeColor="text1" w:themeTint="FF" w:themeShade="FF"/>
                <w:sz w:val="30"/>
                <w:szCs w:val="30"/>
              </w:rPr>
              <w:t>2</w:t>
            </w:r>
          </w:p>
        </w:tc>
      </w:tr>
      <w:tr w:rsidR="7DB37E02" w:rsidTr="56C85564"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3F97E943">
            <w:pPr>
              <w:spacing w:line="259" w:lineRule="auto"/>
              <w:rPr>
                <w:rFonts w:ascii="Calibri" w:hAnsi="Calibri" w:eastAsia="Calibri" w:cs="Calibri"/>
                <w:color w:val="000000" w:themeColor="text1"/>
                <w:sz w:val="24"/>
                <w:szCs w:val="24"/>
              </w:rPr>
            </w:pPr>
            <w:r w:rsidRPr="5266FB34" w:rsidR="44F86E84">
              <w:rPr>
                <w:rFonts w:ascii="Calibri" w:hAnsi="Calibri" w:eastAsia="Calibri" w:cs="Calibri"/>
                <w:color w:val="000000" w:themeColor="text1" w:themeTint="FF" w:themeShade="FF"/>
                <w:sz w:val="24"/>
                <w:szCs w:val="24"/>
              </w:rPr>
              <w:t xml:space="preserve">Hotel &amp; Restaurant Management </w:t>
            </w:r>
            <w:r w:rsidRPr="5266FB34" w:rsidR="3D1B07DC">
              <w:rPr>
                <w:rFonts w:ascii="Calibri" w:hAnsi="Calibri" w:eastAsia="Calibri" w:cs="Calibri"/>
                <w:color w:val="000000" w:themeColor="text1" w:themeTint="FF" w:themeShade="FF"/>
                <w:sz w:val="24"/>
                <w:szCs w:val="24"/>
              </w:rPr>
              <w:t xml:space="preserve">Certificate Completers </w:t>
            </w:r>
          </w:p>
        </w:tc>
      </w:tr>
      <w:tr w:rsidR="000BC967" w:rsidTr="56C85564"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1433F02F">
            <w:pPr>
              <w:spacing w:line="259" w:lineRule="auto"/>
              <w:rPr>
                <w:rFonts w:ascii="Calibri" w:hAnsi="Calibri" w:eastAsia="Calibri" w:cs="Calibri"/>
                <w:color w:val="000000" w:themeColor="text1"/>
                <w:sz w:val="24"/>
                <w:szCs w:val="24"/>
              </w:rPr>
            </w:pPr>
            <w:r w:rsidRPr="62A92735" w:rsidR="557CE769">
              <w:rPr>
                <w:rFonts w:ascii="Calibri" w:hAnsi="Calibri" w:eastAsia="Calibri" w:cs="Calibri"/>
                <w:color w:val="000000" w:themeColor="text1" w:themeTint="FF" w:themeShade="FF"/>
                <w:sz w:val="24"/>
                <w:szCs w:val="24"/>
              </w:rPr>
              <w:t xml:space="preserve">Business Division </w:t>
            </w:r>
          </w:p>
        </w:tc>
      </w:tr>
      <w:tr w:rsidR="000BC967" w:rsidTr="56C85564" w14:paraId="2CEBECC4" w14:textId="77777777">
        <w:trPr>
          <w:trHeight w:val="390"/>
        </w:trPr>
        <w:tc>
          <w:tcPr>
            <w:tcW w:w="14526"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3127A25C">
            <w:pPr>
              <w:spacing w:line="259" w:lineRule="auto"/>
              <w:rPr>
                <w:rFonts w:ascii="Calibri" w:hAnsi="Calibri" w:eastAsia="Calibri" w:cs="Calibri"/>
                <w:color w:val="000000" w:themeColor="text1"/>
                <w:sz w:val="24"/>
                <w:szCs w:val="24"/>
              </w:rPr>
            </w:pPr>
            <w:r w:rsidRPr="62A92735" w:rsidR="28EF1774">
              <w:rPr>
                <w:rFonts w:ascii="Calibri" w:hAnsi="Calibri" w:eastAsia="Calibri" w:cs="Calibri"/>
                <w:color w:val="000000" w:themeColor="text1" w:themeTint="FF" w:themeShade="FF"/>
                <w:sz w:val="24"/>
                <w:szCs w:val="24"/>
              </w:rPr>
              <w:t>10/6/22</w:t>
            </w:r>
          </w:p>
        </w:tc>
      </w:tr>
      <w:tr w:rsidR="000BC967" w:rsidTr="56C85564" w14:paraId="6F13CCC6" w14:textId="77777777">
        <w:trPr>
          <w:trHeight w:val="390"/>
        </w:trPr>
        <w:tc>
          <w:tcPr>
            <w:tcW w:w="14526" w:type="dxa"/>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320E1BEC">
            <w:pPr>
              <w:spacing w:line="259" w:lineRule="auto"/>
              <w:rPr>
                <w:rFonts w:ascii="Calibri" w:hAnsi="Calibri" w:eastAsia="Calibri" w:cs="Calibri"/>
                <w:color w:val="000000" w:themeColor="text1"/>
                <w:sz w:val="24"/>
                <w:szCs w:val="24"/>
              </w:rPr>
            </w:pPr>
            <w:r w:rsidRPr="62A92735" w:rsidR="4D09B59A">
              <w:rPr>
                <w:rFonts w:ascii="Calibri" w:hAnsi="Calibri" w:eastAsia="Calibri" w:cs="Calibri"/>
                <w:color w:val="000000" w:themeColor="text1" w:themeTint="FF" w:themeShade="FF"/>
                <w:sz w:val="24"/>
                <w:szCs w:val="24"/>
              </w:rPr>
              <w:t>Amanda Potts</w:t>
            </w:r>
          </w:p>
        </w:tc>
      </w:tr>
      <w:tr w:rsidR="000BC967" w:rsidTr="56C85564"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210142C3">
            <w:pPr>
              <w:spacing w:line="259" w:lineRule="auto"/>
              <w:rPr>
                <w:rFonts w:ascii="Calibri" w:hAnsi="Calibri" w:eastAsia="Calibri" w:cs="Calibri"/>
                <w:color w:val="000000" w:themeColor="text1"/>
                <w:sz w:val="24"/>
                <w:szCs w:val="24"/>
              </w:rPr>
            </w:pPr>
            <w:r w:rsidRPr="031C2A76" w:rsidR="0B6B6B02">
              <w:rPr>
                <w:rFonts w:ascii="Calibri" w:hAnsi="Calibri" w:eastAsia="Calibri" w:cs="Calibri"/>
                <w:color w:val="000000" w:themeColor="text1" w:themeTint="FF" w:themeShade="FF"/>
                <w:sz w:val="24"/>
                <w:szCs w:val="24"/>
              </w:rPr>
              <w:t xml:space="preserve">Spring </w:t>
            </w:r>
            <w:r w:rsidRPr="031C2A76" w:rsidR="6D2C9C54">
              <w:rPr>
                <w:rFonts w:ascii="Calibri" w:hAnsi="Calibri" w:eastAsia="Calibri" w:cs="Calibri"/>
                <w:color w:val="000000" w:themeColor="text1" w:themeTint="FF" w:themeShade="FF"/>
                <w:sz w:val="24"/>
                <w:szCs w:val="24"/>
              </w:rPr>
              <w:t>2022</w:t>
            </w:r>
          </w:p>
        </w:tc>
      </w:tr>
      <w:tr w:rsidR="000BC967" w:rsidTr="56C85564"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31C2A76" w:rsidR="64E882A9">
              <w:rPr>
                <w:rFonts w:ascii="Calibri" w:hAnsi="Calibri" w:eastAsia="Calibri" w:cs="Calibri"/>
                <w:b w:val="1"/>
                <w:bCs w:val="1"/>
                <w:color w:val="000000" w:themeColor="text1" w:themeTint="FF" w:themeShade="FF"/>
                <w:sz w:val="24"/>
                <w:szCs w:val="24"/>
              </w:rPr>
              <w:t>6. Number of student participants</w:t>
            </w:r>
            <w:r w:rsidRPr="031C2A76" w:rsidR="64E882A9">
              <w:rPr>
                <w:rFonts w:ascii="Calibri" w:hAnsi="Calibri" w:eastAsia="Calibri" w:cs="Calibri"/>
                <w:color w:val="000000" w:themeColor="text1" w:themeTint="FF" w:themeShade="FF"/>
                <w:sz w:val="24"/>
                <w:szCs w:val="24"/>
              </w:rPr>
              <w:t>:</w:t>
            </w:r>
          </w:p>
          <w:p w:rsidR="000BC967" w:rsidP="031C2A76" w:rsidRDefault="000BC967" w14:paraId="0746BC1C" w14:textId="36ADF8D6">
            <w:pPr>
              <w:pStyle w:val="Normal"/>
            </w:pPr>
            <w:r w:rsidR="4FB394A2">
              <w:rPr/>
              <w:t>8</w:t>
            </w:r>
          </w:p>
        </w:tc>
      </w:tr>
      <w:tr w:rsidR="000BC967" w:rsidTr="56C85564"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6268F479">
            <w:pPr>
              <w:spacing w:line="259" w:lineRule="auto"/>
              <w:rPr>
                <w:rFonts w:ascii="Calibri" w:hAnsi="Calibri" w:eastAsia="Calibri" w:cs="Calibri"/>
                <w:color w:val="000000" w:themeColor="text1"/>
                <w:sz w:val="24"/>
                <w:szCs w:val="24"/>
              </w:rPr>
            </w:pPr>
            <w:r w:rsidRPr="62A92735" w:rsidR="36246AFA">
              <w:rPr>
                <w:rFonts w:ascii="Calibri" w:hAnsi="Calibri" w:eastAsia="Calibri" w:cs="Calibri"/>
                <w:color w:val="000000" w:themeColor="text1" w:themeTint="FF" w:themeShade="FF"/>
                <w:sz w:val="24"/>
                <w:szCs w:val="24"/>
              </w:rPr>
              <w:t>1</w:t>
            </w:r>
          </w:p>
        </w:tc>
      </w:tr>
      <w:tr w:rsidR="000BC967" w:rsidTr="56C85564"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31C2A76" w:rsidR="64E882A9">
              <w:rPr>
                <w:rFonts w:ascii="Calibri" w:hAnsi="Calibri" w:eastAsia="Calibri" w:cs="Calibri"/>
                <w:b w:val="1"/>
                <w:bCs w:val="1"/>
                <w:color w:val="000000" w:themeColor="text1" w:themeTint="FF" w:themeShade="FF"/>
                <w:sz w:val="24"/>
                <w:szCs w:val="24"/>
              </w:rPr>
              <w:t>8. What PLOs and/or MSLOs and CSLOs did you assess for this baseline assessment? (For clarity, please label each measure listed as a PLO, MSLO, or CSLO.)</w:t>
            </w:r>
          </w:p>
          <w:p w:rsidR="000BC967" w:rsidP="56C85564" w:rsidRDefault="000BC967" w14:paraId="3C763267" w14:textId="1778E6BF">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1.0 </w:t>
            </w:r>
            <w:r>
              <w:tab/>
            </w:r>
            <w:r w:rsidRPr="56C85564" w:rsidR="5403AB9F">
              <w:rPr>
                <w:rFonts w:ascii="Calibri" w:hAnsi="Calibri" w:eastAsia="Calibri" w:cs="Calibri"/>
                <w:b w:val="1"/>
                <w:bCs w:val="1"/>
                <w:noProof w:val="0"/>
                <w:sz w:val="22"/>
                <w:szCs w:val="22"/>
                <w:lang w:val="en-US"/>
              </w:rPr>
              <w:t>EXAMINE THE HOSPITALITY AND TOURISM INDUSTRY</w:t>
            </w:r>
          </w:p>
          <w:tbl>
            <w:tblPr>
              <w:tblStyle w:val="TableGrid"/>
              <w:tblW w:w="0" w:type="auto"/>
              <w:tblLayout w:type="fixed"/>
              <w:tblLook w:val="06A0" w:firstRow="1" w:lastRow="0" w:firstColumn="1" w:lastColumn="0" w:noHBand="1" w:noVBand="1"/>
            </w:tblPr>
            <w:tblGrid>
              <w:gridCol w:w="14310"/>
            </w:tblGrid>
            <w:tr w:rsidR="56C85564" w:rsidTr="56C85564" w14:paraId="228834F1">
              <w:trPr>
                <w:trHeight w:val="300"/>
              </w:trPr>
              <w:tc>
                <w:tcPr>
                  <w:tcW w:w="14310" w:type="dxa"/>
                  <w:tcMar/>
                </w:tcPr>
                <w:p w:rsidR="56C85564" w:rsidP="56C85564" w:rsidRDefault="56C85564" w14:paraId="77965044" w14:textId="0A85F3C5">
                  <w:pPr>
                    <w:spacing w:before="0" w:beforeAutospacing="off" w:after="0" w:afterAutospacing="off"/>
                  </w:pPr>
                  <w:r w:rsidRPr="56C85564" w:rsidR="56C85564">
                    <w:rPr>
                      <w:rFonts w:ascii="Arial" w:hAnsi="Arial" w:eastAsia="Arial" w:cs="Arial"/>
                      <w:b w:val="0"/>
                      <w:bCs w:val="0"/>
                      <w:color w:val="374151"/>
                      <w:sz w:val="24"/>
                      <w:szCs w:val="24"/>
                    </w:rPr>
                    <w:t>HRM100.1. (Comprehension level) Explain the historical development of the hotel, restaurant, recreation, tourism, and travel industries. HRM 100 Introduction to Hospitality</w:t>
                  </w:r>
                </w:p>
              </w:tc>
            </w:tr>
            <w:tr w:rsidR="56C85564" w:rsidTr="56C85564" w14:paraId="65EBFBD5">
              <w:trPr>
                <w:trHeight w:val="300"/>
              </w:trPr>
              <w:tc>
                <w:tcPr>
                  <w:tcW w:w="14310" w:type="dxa"/>
                  <w:tcMar/>
                </w:tcPr>
                <w:p w:rsidR="56C85564" w:rsidP="56C85564" w:rsidRDefault="56C85564" w14:paraId="66304732" w14:textId="5611A163">
                  <w:pPr>
                    <w:spacing w:before="0" w:beforeAutospacing="off" w:after="0" w:afterAutospacing="off"/>
                  </w:pPr>
                  <w:r w:rsidRPr="56C85564" w:rsidR="56C85564">
                    <w:rPr>
                      <w:rFonts w:ascii="Arial" w:hAnsi="Arial" w:eastAsia="Arial" w:cs="Arial"/>
                      <w:b w:val="0"/>
                      <w:bCs w:val="0"/>
                      <w:color w:val="374151"/>
                      <w:sz w:val="22"/>
                      <w:szCs w:val="22"/>
                    </w:rPr>
                    <w:t>HRM100.2. (Comprehension level) Describe the importance of guest service and the hospitality spirit. HRM 100 Introduction to Hospitality</w:t>
                  </w:r>
                </w:p>
              </w:tc>
            </w:tr>
            <w:tr w:rsidR="56C85564" w:rsidTr="56C85564" w14:paraId="0820822E">
              <w:trPr>
                <w:trHeight w:val="300"/>
              </w:trPr>
              <w:tc>
                <w:tcPr>
                  <w:tcW w:w="14310" w:type="dxa"/>
                  <w:tcMar/>
                </w:tcPr>
                <w:p w:rsidR="56C85564" w:rsidP="56C85564" w:rsidRDefault="56C85564" w14:paraId="4301DB34" w14:textId="289AF39D">
                  <w:pPr>
                    <w:spacing w:before="0" w:beforeAutospacing="off" w:after="0" w:afterAutospacing="off"/>
                  </w:pPr>
                  <w:r w:rsidRPr="56C85564" w:rsidR="56C85564">
                    <w:rPr>
                      <w:rFonts w:ascii="Arial" w:hAnsi="Arial" w:eastAsia="Arial" w:cs="Arial"/>
                      <w:b w:val="0"/>
                      <w:bCs w:val="0"/>
                      <w:color w:val="374151"/>
                      <w:sz w:val="22"/>
                      <w:szCs w:val="22"/>
                    </w:rPr>
                    <w:t>Identify key sectors of the industry (e.g., food and beverage, lodging, entertainment and recreation, travel and tourism, and meetings and events)</w:t>
                  </w:r>
                </w:p>
              </w:tc>
            </w:tr>
            <w:tr w:rsidR="56C85564" w:rsidTr="56C85564" w14:paraId="0749F3D5">
              <w:trPr>
                <w:trHeight w:val="300"/>
              </w:trPr>
              <w:tc>
                <w:tcPr>
                  <w:tcW w:w="14310" w:type="dxa"/>
                  <w:tcMar/>
                </w:tcPr>
                <w:p w:rsidR="56C85564" w:rsidP="56C85564" w:rsidRDefault="56C85564" w14:paraId="57FC032B" w14:textId="37852C06">
                  <w:pPr>
                    <w:spacing w:before="0" w:beforeAutospacing="off" w:after="0" w:afterAutospacing="off"/>
                  </w:pPr>
                  <w:r w:rsidRPr="56C85564" w:rsidR="56C85564">
                    <w:rPr>
                      <w:rFonts w:ascii="Arial" w:hAnsi="Arial" w:eastAsia="Arial" w:cs="Arial"/>
                      <w:b w:val="0"/>
                      <w:bCs w:val="0"/>
                      <w:color w:val="374151"/>
                      <w:sz w:val="22"/>
                      <w:szCs w:val="22"/>
                    </w:rPr>
                    <w:t>HRM100.3 (Analysis level) Compare and contrast lodging, foodservice, travel, tourism, attractions, recreation, and gaming establishments.</w:t>
                  </w:r>
                </w:p>
              </w:tc>
            </w:tr>
            <w:tr w:rsidR="56C85564" w:rsidTr="56C85564" w14:paraId="19CA06A5">
              <w:trPr>
                <w:trHeight w:val="300"/>
              </w:trPr>
              <w:tc>
                <w:tcPr>
                  <w:tcW w:w="14310" w:type="dxa"/>
                  <w:tcMar/>
                </w:tcPr>
                <w:p w:rsidR="56C85564" w:rsidP="56C85564" w:rsidRDefault="56C85564" w14:paraId="7C722968" w14:textId="42DE3E35">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w:t>
                  </w:r>
                </w:p>
              </w:tc>
            </w:tr>
            <w:tr w:rsidR="56C85564" w:rsidTr="56C85564" w14:paraId="740755EC">
              <w:trPr>
                <w:trHeight w:val="300"/>
              </w:trPr>
              <w:tc>
                <w:tcPr>
                  <w:tcW w:w="14310" w:type="dxa"/>
                  <w:tcMar/>
                </w:tcPr>
                <w:p w:rsidR="56C85564" w:rsidP="56C85564" w:rsidRDefault="56C85564" w14:paraId="4E7A2853" w14:textId="27CF9841">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w:t>
                  </w:r>
                </w:p>
              </w:tc>
            </w:tr>
            <w:tr w:rsidR="56C85564" w:rsidTr="56C85564" w14:paraId="3FFA8AE3">
              <w:trPr>
                <w:trHeight w:val="300"/>
              </w:trPr>
              <w:tc>
                <w:tcPr>
                  <w:tcW w:w="14310" w:type="dxa"/>
                  <w:tcMar/>
                </w:tcPr>
                <w:p w:rsidR="56C85564" w:rsidP="56C85564" w:rsidRDefault="56C85564" w14:paraId="59B845D7" w14:textId="54BCC99E">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r w:rsidR="56C85564" w:rsidTr="56C85564" w14:paraId="3D9ADECA">
              <w:trPr>
                <w:trHeight w:val="300"/>
              </w:trPr>
              <w:tc>
                <w:tcPr>
                  <w:tcW w:w="14310" w:type="dxa"/>
                  <w:tcMar/>
                </w:tcPr>
                <w:p w:rsidR="56C85564" w:rsidP="56C85564" w:rsidRDefault="56C85564" w14:paraId="66D30816" w14:textId="1EB24055">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r w:rsidR="56C85564" w:rsidTr="56C85564" w14:paraId="731BBE19">
              <w:trPr>
                <w:trHeight w:val="300"/>
              </w:trPr>
              <w:tc>
                <w:tcPr>
                  <w:tcW w:w="14310" w:type="dxa"/>
                  <w:tcMar/>
                </w:tcPr>
                <w:p w:rsidR="56C85564" w:rsidP="56C85564" w:rsidRDefault="56C85564" w14:paraId="7A006F76" w14:textId="441D42D8">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w:t>
                  </w:r>
                </w:p>
              </w:tc>
            </w:tr>
            <w:tr w:rsidR="56C85564" w:rsidTr="56C85564" w14:paraId="2A65D590">
              <w:trPr>
                <w:trHeight w:val="300"/>
              </w:trPr>
              <w:tc>
                <w:tcPr>
                  <w:tcW w:w="14310" w:type="dxa"/>
                  <w:tcMar/>
                </w:tcPr>
                <w:p w:rsidR="56C85564" w:rsidP="56C85564" w:rsidRDefault="56C85564" w14:paraId="00E5674A" w14:textId="55AF7CCA">
                  <w:pPr>
                    <w:spacing w:before="0" w:beforeAutospacing="off" w:after="0" w:afterAutospacing="off"/>
                  </w:pPr>
                  <w:r w:rsidRPr="56C85564" w:rsidR="56C85564">
                    <w:rPr>
                      <w:rFonts w:ascii="Arial" w:hAnsi="Arial" w:eastAsia="Arial" w:cs="Arial"/>
                      <w:b w:val="0"/>
                      <w:bCs w:val="0"/>
                      <w:color w:val="374151"/>
                      <w:sz w:val="22"/>
                      <w:szCs w:val="22"/>
                    </w:rPr>
                    <w:t>HRM101.2. (Comprehension Level) Describe sustainability and its role in the overall business strategy of a hospitality operation. HRM101 Hospitality Facilities Management</w:t>
                  </w:r>
                </w:p>
              </w:tc>
            </w:tr>
          </w:tbl>
          <w:p w:rsidR="000BC967" w:rsidP="56C85564" w:rsidRDefault="000BC967" w14:paraId="3927A97E" w14:textId="171C8789">
            <w:pPr>
              <w:spacing w:line="257" w:lineRule="auto"/>
              <w:rPr>
                <w:rFonts w:ascii="Calibri" w:hAnsi="Calibri" w:eastAsia="Calibri" w:cs="Calibri"/>
                <w:noProof w:val="0"/>
                <w:sz w:val="22"/>
                <w:szCs w:val="22"/>
                <w:lang w:val="en-US"/>
              </w:rPr>
            </w:pPr>
            <w:r>
              <w:br/>
            </w:r>
            <w:r w:rsidRPr="56C85564" w:rsidR="5403AB9F">
              <w:rPr>
                <w:rFonts w:ascii="Calibri" w:hAnsi="Calibri" w:eastAsia="Calibri" w:cs="Calibri"/>
                <w:b w:val="1"/>
                <w:bCs w:val="1"/>
                <w:noProof w:val="0"/>
                <w:sz w:val="22"/>
                <w:szCs w:val="22"/>
                <w:lang w:val="en-US"/>
              </w:rPr>
              <w:t xml:space="preserve">2.0 </w:t>
            </w:r>
            <w:r>
              <w:tab/>
            </w:r>
            <w:r w:rsidRPr="56C85564" w:rsidR="5403AB9F">
              <w:rPr>
                <w:rFonts w:ascii="Calibri" w:hAnsi="Calibri" w:eastAsia="Calibri" w:cs="Calibri"/>
                <w:b w:val="1"/>
                <w:bCs w:val="1"/>
                <w:noProof w:val="0"/>
                <w:sz w:val="22"/>
                <w:szCs w:val="22"/>
                <w:lang w:val="en-US"/>
              </w:rPr>
              <w:t>ANALYZE THE LODGING SECTOR</w:t>
            </w:r>
          </w:p>
          <w:tbl>
            <w:tblPr>
              <w:tblStyle w:val="TableGrid"/>
              <w:tblW w:w="0" w:type="auto"/>
              <w:tblLayout w:type="fixed"/>
              <w:tblLook w:val="06A0" w:firstRow="1" w:lastRow="0" w:firstColumn="1" w:lastColumn="0" w:noHBand="1" w:noVBand="1"/>
            </w:tblPr>
            <w:tblGrid>
              <w:gridCol w:w="14310"/>
            </w:tblGrid>
            <w:tr w:rsidR="56C85564" w:rsidTr="56C85564" w14:paraId="24F59831">
              <w:trPr>
                <w:trHeight w:val="300"/>
              </w:trPr>
              <w:tc>
                <w:tcPr>
                  <w:tcW w:w="14310" w:type="dxa"/>
                  <w:tcMar/>
                </w:tcPr>
                <w:p w:rsidR="56C85564" w:rsidP="56C85564" w:rsidRDefault="56C85564" w14:paraId="2D188C52" w14:textId="4C4DF0AA">
                  <w:pPr>
                    <w:spacing w:before="0" w:beforeAutospacing="off" w:after="0" w:afterAutospacing="off"/>
                  </w:pPr>
                  <w:r w:rsidRPr="56C85564" w:rsidR="56C85564">
                    <w:rPr>
                      <w:rFonts w:ascii="Arial" w:hAnsi="Arial" w:eastAsia="Arial" w:cs="Arial"/>
                      <w:b w:val="0"/>
                      <w:bCs w:val="0"/>
                      <w:color w:val="374151"/>
                      <w:sz w:val="22"/>
                      <w:szCs w:val="22"/>
                    </w:rPr>
                    <w:t>HRM100.3 (Analysis level) Compare and contrast lodging, foodservice, travel, tourism, attractions, recreation, and gaming establishments.</w:t>
                  </w:r>
                </w:p>
              </w:tc>
            </w:tr>
            <w:tr w:rsidR="56C85564" w:rsidTr="56C85564" w14:paraId="388FBE2A">
              <w:trPr>
                <w:trHeight w:val="300"/>
              </w:trPr>
              <w:tc>
                <w:tcPr>
                  <w:tcW w:w="14310" w:type="dxa"/>
                  <w:tcMar/>
                </w:tcPr>
                <w:p w:rsidR="56C85564" w:rsidP="56C85564" w:rsidRDefault="56C85564" w14:paraId="7AE5B32F" w14:textId="61FA5128">
                  <w:pPr>
                    <w:spacing w:before="0" w:beforeAutospacing="off" w:after="0" w:afterAutospacing="off"/>
                  </w:pPr>
                  <w:r w:rsidRPr="56C85564" w:rsidR="56C85564">
                    <w:rPr>
                      <w:rFonts w:ascii="Arial" w:hAnsi="Arial" w:eastAsia="Arial" w:cs="Arial"/>
                      <w:b w:val="0"/>
                      <w:bCs w:val="0"/>
                      <w:color w:val="374151"/>
                      <w:sz w:val="22"/>
                      <w:szCs w:val="22"/>
                    </w:rPr>
                    <w:t>HRM100.4. (Analysis level) Outline the major organizational areas within hotels and restaurants. HRM 100 Introduction to Hospitality</w:t>
                  </w:r>
                </w:p>
              </w:tc>
            </w:tr>
            <w:tr w:rsidR="56C85564" w:rsidTr="56C85564" w14:paraId="7848E5DD">
              <w:trPr>
                <w:trHeight w:val="300"/>
              </w:trPr>
              <w:tc>
                <w:tcPr>
                  <w:tcW w:w="14310" w:type="dxa"/>
                  <w:tcMar/>
                </w:tcPr>
                <w:p w:rsidR="56C85564" w:rsidP="56C85564" w:rsidRDefault="56C85564" w14:paraId="78152F37" w14:textId="5428683C">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w:t>
                  </w:r>
                </w:p>
              </w:tc>
            </w:tr>
          </w:tbl>
          <w:p w:rsidR="000BC967" w:rsidP="56C85564" w:rsidRDefault="000BC967" w14:paraId="1FB0282A" w14:textId="6519B63A">
            <w:pPr>
              <w:spacing w:line="257" w:lineRule="auto"/>
              <w:rPr>
                <w:rFonts w:ascii="Calibri" w:hAnsi="Calibri" w:eastAsia="Calibri" w:cs="Calibri"/>
                <w:b w:val="1"/>
                <w:bCs w:val="1"/>
                <w:noProof w:val="0"/>
                <w:sz w:val="22"/>
                <w:szCs w:val="22"/>
                <w:lang w:val="en-US"/>
              </w:rPr>
            </w:pPr>
            <w:r>
              <w:br/>
            </w:r>
            <w:r w:rsidRPr="56C85564" w:rsidR="5403AB9F">
              <w:rPr>
                <w:rFonts w:ascii="Calibri" w:hAnsi="Calibri" w:eastAsia="Calibri" w:cs="Calibri"/>
                <w:b w:val="1"/>
                <w:bCs w:val="1"/>
                <w:noProof w:val="0"/>
                <w:sz w:val="22"/>
                <w:szCs w:val="22"/>
                <w:lang w:val="en-US"/>
              </w:rPr>
              <w:t xml:space="preserve">3.0 </w:t>
            </w:r>
            <w:r>
              <w:tab/>
            </w:r>
            <w:r w:rsidRPr="56C85564" w:rsidR="5403AB9F">
              <w:rPr>
                <w:rFonts w:ascii="Calibri" w:hAnsi="Calibri" w:eastAsia="Calibri" w:cs="Calibri"/>
                <w:b w:val="1"/>
                <w:bCs w:val="1"/>
                <w:noProof w:val="0"/>
                <w:sz w:val="22"/>
                <w:szCs w:val="22"/>
                <w:lang w:val="en-US"/>
              </w:rPr>
              <w:t>ANALYZE THE FOOD AND BEVERAGE SECTOR</w:t>
            </w:r>
          </w:p>
          <w:tbl>
            <w:tblPr>
              <w:tblStyle w:val="TableGrid"/>
              <w:tblW w:w="0" w:type="auto"/>
              <w:tblLayout w:type="fixed"/>
              <w:tblLook w:val="06A0" w:firstRow="1" w:lastRow="0" w:firstColumn="1" w:lastColumn="0" w:noHBand="1" w:noVBand="1"/>
            </w:tblPr>
            <w:tblGrid>
              <w:gridCol w:w="14310"/>
            </w:tblGrid>
            <w:tr w:rsidR="56C85564" w:rsidTr="56C85564" w14:paraId="43A4E53E">
              <w:trPr>
                <w:trHeight w:val="300"/>
              </w:trPr>
              <w:tc>
                <w:tcPr>
                  <w:tcW w:w="14310" w:type="dxa"/>
                  <w:tcMar/>
                </w:tcPr>
                <w:p w:rsidR="56C85564" w:rsidP="56C85564" w:rsidRDefault="56C85564" w14:paraId="35BAB2A7" w14:textId="4B022E83">
                  <w:pPr>
                    <w:spacing w:before="0" w:beforeAutospacing="off" w:after="0" w:afterAutospacing="off"/>
                  </w:pPr>
                  <w:r w:rsidRPr="56C85564" w:rsidR="56C85564">
                    <w:rPr>
                      <w:rFonts w:ascii="Arial" w:hAnsi="Arial" w:eastAsia="Arial" w:cs="Arial"/>
                      <w:b w:val="0"/>
                      <w:bCs w:val="0"/>
                      <w:color w:val="374151"/>
                      <w:sz w:val="22"/>
                      <w:szCs w:val="22"/>
                    </w:rPr>
                    <w:t>CUL170.5. (Comprehension Level) Explain inter-relationships and work flow between dining room and kitchen operations. (CSLO 2, 3) CUL170 Dinning &amp; Bev. Management</w:t>
                  </w:r>
                </w:p>
              </w:tc>
            </w:tr>
            <w:tr w:rsidR="56C85564" w:rsidTr="56C85564" w14:paraId="0F1B4087">
              <w:trPr>
                <w:trHeight w:val="300"/>
              </w:trPr>
              <w:tc>
                <w:tcPr>
                  <w:tcW w:w="14310" w:type="dxa"/>
                  <w:tcMar/>
                </w:tcPr>
                <w:p w:rsidR="56C85564" w:rsidP="56C85564" w:rsidRDefault="56C85564" w14:paraId="2548CF24" w14:textId="54FF4D63">
                  <w:pPr>
                    <w:spacing w:before="0" w:beforeAutospacing="off" w:after="0" w:afterAutospacing="off"/>
                  </w:pPr>
                  <w:r w:rsidRPr="56C85564" w:rsidR="56C85564">
                    <w:rPr>
                      <w:rFonts w:ascii="Arial" w:hAnsi="Arial" w:eastAsia="Arial" w:cs="Arial"/>
                      <w:b w:val="0"/>
                      <w:bCs w:val="0"/>
                      <w:color w:val="374151"/>
                      <w:sz w:val="22"/>
                      <w:szCs w:val="22"/>
                    </w:rPr>
                    <w:t>CUL170.1 (Knowledge Level) Describe the general rules of table settings and food and beverage service; describe American, English, French and Russian service, and service methods such as banquets, buffets, catering and a la carte service. (CSLO 1, 2, 4) CUL170 Dinning &amp; Bev. Management</w:t>
                  </w:r>
                </w:p>
              </w:tc>
            </w:tr>
            <w:tr w:rsidR="56C85564" w:rsidTr="56C85564" w14:paraId="75EF3C2F">
              <w:trPr>
                <w:trHeight w:val="300"/>
              </w:trPr>
              <w:tc>
                <w:tcPr>
                  <w:tcW w:w="14310" w:type="dxa"/>
                  <w:tcMar/>
                </w:tcPr>
                <w:p w:rsidR="56C85564" w:rsidP="56C85564" w:rsidRDefault="56C85564" w14:paraId="15048DF3" w14:textId="5FEC7B4D">
                  <w:pPr>
                    <w:spacing w:before="0" w:beforeAutospacing="off" w:after="0" w:afterAutospacing="off"/>
                  </w:pPr>
                  <w:r w:rsidRPr="56C85564" w:rsidR="56C85564">
                    <w:rPr>
                      <w:rFonts w:ascii="Arial" w:hAnsi="Arial" w:eastAsia="Arial" w:cs="Arial"/>
                      <w:b w:val="0"/>
                      <w:bCs w:val="0"/>
                      <w:color w:val="374151"/>
                      <w:sz w:val="22"/>
                      <w:szCs w:val="22"/>
                    </w:rPr>
                    <w:t>CUL170.2. (Knowledge Level) Describe the functions of and training procedures for dining service personnel. (CSLO 2, 3) HRM102. Dining &amp; Bev. Management</w:t>
                  </w:r>
                </w:p>
              </w:tc>
            </w:tr>
            <w:tr w:rsidR="56C85564" w:rsidTr="56C85564" w14:paraId="39BA5F97">
              <w:trPr>
                <w:trHeight w:val="300"/>
              </w:trPr>
              <w:tc>
                <w:tcPr>
                  <w:tcW w:w="14310" w:type="dxa"/>
                  <w:tcMar/>
                </w:tcPr>
                <w:p w:rsidR="56C85564" w:rsidP="56C85564" w:rsidRDefault="56C85564" w14:paraId="4891D2D7" w14:textId="4E69D827">
                  <w:pPr>
                    <w:spacing w:before="0" w:beforeAutospacing="off" w:after="0" w:afterAutospacing="off"/>
                  </w:pPr>
                  <w:r w:rsidRPr="56C85564" w:rsidR="56C85564">
                    <w:rPr>
                      <w:rFonts w:ascii="Arial" w:hAnsi="Arial" w:eastAsia="Arial" w:cs="Arial"/>
                      <w:b w:val="0"/>
                      <w:bCs w:val="0"/>
                      <w:color w:val="374151"/>
                      <w:sz w:val="22"/>
                      <w:szCs w:val="22"/>
                    </w:rPr>
                    <w:t>CUL170.9. (Synthesis Level) Create menu item descriptions following established truth-in-menu guidelines. (CSLO 2, 3) CUL170 Dinning &amp; Bev. Management</w:t>
                  </w:r>
                </w:p>
              </w:tc>
            </w:tr>
            <w:tr w:rsidR="56C85564" w:rsidTr="56C85564" w14:paraId="5B9CE1BE">
              <w:trPr>
                <w:trHeight w:val="300"/>
              </w:trPr>
              <w:tc>
                <w:tcPr>
                  <w:tcW w:w="14310" w:type="dxa"/>
                  <w:tcMar/>
                </w:tcPr>
                <w:p w:rsidR="56C85564" w:rsidP="56C85564" w:rsidRDefault="56C85564" w14:paraId="07F6DFC0" w14:textId="0426DAB8">
                  <w:pPr>
                    <w:spacing w:before="0" w:beforeAutospacing="off" w:after="0" w:afterAutospacing="off"/>
                  </w:pPr>
                  <w:r w:rsidRPr="56C85564" w:rsidR="56C85564">
                    <w:rPr>
                      <w:rFonts w:ascii="Arial" w:hAnsi="Arial" w:eastAsia="Arial" w:cs="Arial"/>
                      <w:b w:val="0"/>
                      <w:bCs w:val="0"/>
                      <w:color w:val="374151"/>
                      <w:sz w:val="22"/>
                      <w:szCs w:val="22"/>
                    </w:rPr>
                    <w:t>CUL170.1 (Knowledge Level) Describe the general rules of table settings and food and beverage service; describe American, English, French and Russian service, and service methods such as banquets, buffets, catering and a la carte service. (CSLO 1, 2, 4) CUL170 Dinning &amp; Bev. Management</w:t>
                  </w:r>
                </w:p>
              </w:tc>
            </w:tr>
            <w:tr w:rsidR="56C85564" w:rsidTr="56C85564" w14:paraId="29A31568">
              <w:trPr>
                <w:trHeight w:val="300"/>
              </w:trPr>
              <w:tc>
                <w:tcPr>
                  <w:tcW w:w="14310" w:type="dxa"/>
                  <w:tcMar/>
                </w:tcPr>
                <w:p w:rsidR="56C85564" w:rsidP="56C85564" w:rsidRDefault="56C85564" w14:paraId="3F2DBCB0" w14:textId="6A7283CB">
                  <w:pPr>
                    <w:spacing w:before="0" w:beforeAutospacing="off" w:after="0" w:afterAutospacing="off"/>
                  </w:pPr>
                  <w:r w:rsidRPr="56C85564" w:rsidR="56C85564">
                    <w:rPr>
                      <w:rFonts w:ascii="Arial" w:hAnsi="Arial" w:eastAsia="Arial" w:cs="Arial"/>
                      <w:b w:val="0"/>
                      <w:bCs w:val="0"/>
                      <w:color w:val="374151"/>
                      <w:sz w:val="22"/>
                      <w:szCs w:val="22"/>
                    </w:rPr>
                    <w:t>CUL170.8. (Application Level) Identify and apply basic menu planning principles, such as menu layout and design. (CSLO 2) CUL170 Dinning &amp; Bev. Management</w:t>
                  </w:r>
                </w:p>
              </w:tc>
            </w:tr>
            <w:tr w:rsidR="56C85564" w:rsidTr="56C85564" w14:paraId="2D1E513C">
              <w:trPr>
                <w:trHeight w:val="300"/>
              </w:trPr>
              <w:tc>
                <w:tcPr>
                  <w:tcW w:w="14310" w:type="dxa"/>
                  <w:tcMar/>
                </w:tcPr>
                <w:p w:rsidR="56C85564" w:rsidP="56C85564" w:rsidRDefault="56C85564" w14:paraId="12242CD9" w14:textId="11C44310">
                  <w:pPr>
                    <w:spacing w:before="0" w:beforeAutospacing="off" w:after="0" w:afterAutospacing="off"/>
                  </w:pPr>
                  <w:r w:rsidRPr="56C85564" w:rsidR="56C85564">
                    <w:rPr>
                      <w:rFonts w:ascii="Arial" w:hAnsi="Arial" w:eastAsia="Arial" w:cs="Arial"/>
                      <w:b w:val="0"/>
                      <w:bCs w:val="0"/>
                      <w:color w:val="374151"/>
                      <w:sz w:val="22"/>
                      <w:szCs w:val="22"/>
                    </w:rPr>
                    <w:t>HRM101.3. (Comprehension Level) Describe how to reduce occupational injury rates through plant design and employee training. HRM101 Hospitality Facilities Management</w:t>
                  </w:r>
                </w:p>
              </w:tc>
            </w:tr>
            <w:tr w:rsidR="56C85564" w:rsidTr="56C85564" w14:paraId="375E5491">
              <w:trPr>
                <w:trHeight w:val="300"/>
              </w:trPr>
              <w:tc>
                <w:tcPr>
                  <w:tcW w:w="14310" w:type="dxa"/>
                  <w:tcMar/>
                </w:tcPr>
                <w:p w:rsidR="56C85564" w:rsidP="56C85564" w:rsidRDefault="56C85564" w14:paraId="04F3F40D" w14:textId="02D56E9F">
                  <w:pPr>
                    <w:spacing w:before="0" w:beforeAutospacing="off" w:after="0" w:afterAutospacing="off"/>
                  </w:pPr>
                  <w:r w:rsidRPr="56C85564" w:rsidR="56C85564">
                    <w:rPr>
                      <w:rFonts w:ascii="Arial" w:hAnsi="Arial" w:eastAsia="Arial" w:cs="Arial"/>
                      <w:b w:val="0"/>
                      <w:bCs w:val="0"/>
                      <w:color w:val="374151"/>
                      <w:sz w:val="22"/>
                      <w:szCs w:val="22"/>
                    </w:rPr>
                    <w:t>HRM103.4. (Analysis Level) Classify menus by market attraction, feasibility, implementation challenges, and profitability. HRM103 Managing Foodservice Operations</w:t>
                  </w:r>
                </w:p>
              </w:tc>
            </w:tr>
            <w:tr w:rsidR="56C85564" w:rsidTr="56C85564" w14:paraId="0785E718">
              <w:trPr>
                <w:trHeight w:val="300"/>
              </w:trPr>
              <w:tc>
                <w:tcPr>
                  <w:tcW w:w="14310" w:type="dxa"/>
                  <w:tcMar/>
                </w:tcPr>
                <w:p w:rsidR="56C85564" w:rsidP="56C85564" w:rsidRDefault="56C85564" w14:paraId="37FE926A" w14:textId="3C8CF552">
                  <w:pPr>
                    <w:spacing w:before="0" w:beforeAutospacing="off" w:after="0" w:afterAutospacing="off"/>
                  </w:pPr>
                  <w:r w:rsidRPr="56C85564" w:rsidR="56C85564">
                    <w:rPr>
                      <w:rFonts w:ascii="Arial" w:hAnsi="Arial" w:eastAsia="Arial" w:cs="Arial"/>
                      <w:b w:val="0"/>
                      <w:bCs w:val="0"/>
                      <w:color w:val="374151"/>
                      <w:sz w:val="22"/>
                      <w:szCs w:val="22"/>
                    </w:rPr>
                    <w:t>HRM101.1 (Knowledge Level) Identify roles played by hospitality facilities managers in controlling operating costs. HRM101 Hospitality Facilities Management</w:t>
                  </w:r>
                </w:p>
              </w:tc>
            </w:tr>
            <w:tr w:rsidR="56C85564" w:rsidTr="56C85564" w14:paraId="78894107">
              <w:trPr>
                <w:trHeight w:val="300"/>
              </w:trPr>
              <w:tc>
                <w:tcPr>
                  <w:tcW w:w="14310" w:type="dxa"/>
                  <w:tcMar/>
                </w:tcPr>
                <w:p w:rsidR="56C85564" w:rsidP="56C85564" w:rsidRDefault="56C85564" w14:paraId="5904E9F2" w14:textId="44896BDE">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r w:rsidR="56C85564" w:rsidTr="56C85564" w14:paraId="749044AC">
              <w:trPr>
                <w:trHeight w:val="300"/>
              </w:trPr>
              <w:tc>
                <w:tcPr>
                  <w:tcW w:w="14310" w:type="dxa"/>
                  <w:tcMar/>
                </w:tcPr>
                <w:p w:rsidR="56C85564" w:rsidP="56C85564" w:rsidRDefault="56C85564" w14:paraId="00F5E599" w14:textId="5488E91C">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r w:rsidR="56C85564" w:rsidTr="56C85564" w14:paraId="0FD1289D">
              <w:trPr>
                <w:trHeight w:val="300"/>
              </w:trPr>
              <w:tc>
                <w:tcPr>
                  <w:tcW w:w="14310" w:type="dxa"/>
                  <w:tcMar/>
                </w:tcPr>
                <w:p w:rsidR="56C85564" w:rsidP="56C85564" w:rsidRDefault="56C85564" w14:paraId="7A8E8009" w14:textId="1CD93467">
                  <w:pPr>
                    <w:spacing w:before="0" w:beforeAutospacing="off" w:after="0" w:afterAutospacing="off"/>
                  </w:pPr>
                  <w:r w:rsidRPr="56C85564" w:rsidR="56C85564">
                    <w:rPr>
                      <w:rFonts w:ascii="Arial" w:hAnsi="Arial" w:eastAsia="Arial" w:cs="Arial"/>
                      <w:b w:val="0"/>
                      <w:bCs w:val="0"/>
                      <w:color w:val="374151"/>
                      <w:sz w:val="22"/>
                      <w:szCs w:val="22"/>
                    </w:rPr>
                    <w:t>HRM101.4. (Comprehension Level) Discuss goals for effective and efficient facilities maintenance. HRM101 Hospitality Facilities Management</w:t>
                  </w:r>
                </w:p>
              </w:tc>
            </w:tr>
            <w:tr w:rsidR="56C85564" w:rsidTr="56C85564" w14:paraId="2D52AF34">
              <w:trPr>
                <w:trHeight w:val="300"/>
              </w:trPr>
              <w:tc>
                <w:tcPr>
                  <w:tcW w:w="14310" w:type="dxa"/>
                  <w:tcMar/>
                </w:tcPr>
                <w:p w:rsidR="56C85564" w:rsidP="56C85564" w:rsidRDefault="56C85564" w14:paraId="58D11B98" w14:textId="6CA0CE79">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bl>
          <w:p w:rsidR="000BC967" w:rsidP="56C85564" w:rsidRDefault="000BC967" w14:paraId="022A0583" w14:textId="017BC4AB">
            <w:pPr>
              <w:pStyle w:val="Normal"/>
              <w:spacing w:line="257" w:lineRule="auto"/>
              <w:rPr>
                <w:rFonts w:ascii="Calibri" w:hAnsi="Calibri" w:eastAsia="Calibri" w:cs="Calibri"/>
                <w:noProof w:val="0"/>
                <w:sz w:val="22"/>
                <w:szCs w:val="22"/>
                <w:lang w:val="en-US"/>
              </w:rPr>
            </w:pPr>
          </w:p>
          <w:p w:rsidR="000BC967" w:rsidP="56C85564" w:rsidRDefault="000BC967" w14:paraId="011F4217" w14:textId="0099CA91">
            <w:pPr>
              <w:spacing w:line="257" w:lineRule="auto"/>
              <w:rPr>
                <w:rFonts w:ascii="Calibri" w:hAnsi="Calibri" w:eastAsia="Calibri" w:cs="Calibri"/>
                <w:b w:val="1"/>
                <w:bCs w:val="1"/>
                <w:noProof w:val="0"/>
                <w:sz w:val="22"/>
                <w:szCs w:val="22"/>
                <w:lang w:val="en-US"/>
              </w:rPr>
            </w:pPr>
            <w:r w:rsidRPr="56C85564" w:rsidR="1A9307F0">
              <w:rPr>
                <w:rFonts w:ascii="Calibri" w:hAnsi="Calibri" w:eastAsia="Calibri" w:cs="Calibri"/>
                <w:b w:val="1"/>
                <w:bCs w:val="1"/>
                <w:noProof w:val="0"/>
                <w:sz w:val="22"/>
                <w:szCs w:val="22"/>
                <w:lang w:val="en-US"/>
              </w:rPr>
              <w:t>5</w:t>
            </w:r>
            <w:r w:rsidRPr="56C85564" w:rsidR="5403AB9F">
              <w:rPr>
                <w:rFonts w:ascii="Calibri" w:hAnsi="Calibri" w:eastAsia="Calibri" w:cs="Calibri"/>
                <w:b w:val="1"/>
                <w:bCs w:val="1"/>
                <w:noProof w:val="0"/>
                <w:sz w:val="22"/>
                <w:szCs w:val="22"/>
                <w:lang w:val="en-US"/>
              </w:rPr>
              <w:t xml:space="preserve">.0 </w:t>
            </w:r>
            <w:r>
              <w:tab/>
            </w:r>
            <w:r w:rsidRPr="56C85564" w:rsidR="5403AB9F">
              <w:rPr>
                <w:rFonts w:ascii="Calibri" w:hAnsi="Calibri" w:eastAsia="Calibri" w:cs="Calibri"/>
                <w:b w:val="1"/>
                <w:bCs w:val="1"/>
                <w:noProof w:val="0"/>
                <w:sz w:val="22"/>
                <w:szCs w:val="22"/>
                <w:lang w:val="en-US"/>
              </w:rPr>
              <w:t>ANALYZE THE TRAVEL AND TOURISM SECTOR</w:t>
            </w:r>
          </w:p>
          <w:tbl>
            <w:tblPr>
              <w:tblStyle w:val="TableGrid"/>
              <w:tblW w:w="0" w:type="auto"/>
              <w:tblLayout w:type="fixed"/>
              <w:tblLook w:val="06A0" w:firstRow="1" w:lastRow="0" w:firstColumn="1" w:lastColumn="0" w:noHBand="1" w:noVBand="1"/>
            </w:tblPr>
            <w:tblGrid>
              <w:gridCol w:w="14310"/>
            </w:tblGrid>
            <w:tr w:rsidR="56C85564" w:rsidTr="56C85564" w14:paraId="7B4CF3AF">
              <w:trPr>
                <w:trHeight w:val="300"/>
              </w:trPr>
              <w:tc>
                <w:tcPr>
                  <w:tcW w:w="14310" w:type="dxa"/>
                  <w:tcMar/>
                </w:tcPr>
                <w:p w:rsidR="56C85564" w:rsidP="56C85564" w:rsidRDefault="56C85564" w14:paraId="1CB7FC2E" w14:textId="535D5253">
                  <w:pPr>
                    <w:spacing w:before="0" w:beforeAutospacing="off" w:after="0" w:afterAutospacing="off"/>
                  </w:pPr>
                  <w:r w:rsidRPr="56C85564" w:rsidR="56C85564">
                    <w:rPr>
                      <w:rFonts w:ascii="Arial" w:hAnsi="Arial" w:eastAsia="Arial" w:cs="Arial"/>
                      <w:b w:val="0"/>
                      <w:bCs w:val="0"/>
                      <w:color w:val="374151"/>
                      <w:sz w:val="22"/>
                      <w:szCs w:val="22"/>
                    </w:rPr>
                    <w:t>HRM100.1. (Comprehension level) Explain the historical development of the hotel, restaurant, recreation, tourism, and travel industries. HRM 100 Introduction to Hospitality</w:t>
                  </w:r>
                </w:p>
              </w:tc>
            </w:tr>
            <w:tr w:rsidR="56C85564" w:rsidTr="56C85564" w14:paraId="055E84A9">
              <w:trPr>
                <w:trHeight w:val="300"/>
              </w:trPr>
              <w:tc>
                <w:tcPr>
                  <w:tcW w:w="14310" w:type="dxa"/>
                  <w:tcMar/>
                </w:tcPr>
                <w:p w:rsidR="56C85564" w:rsidP="56C85564" w:rsidRDefault="56C85564" w14:paraId="6C1D82A5" w14:textId="5772BE7D">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 Introduction to Hospitality</w:t>
                  </w:r>
                </w:p>
              </w:tc>
            </w:tr>
            <w:tr w:rsidR="56C85564" w:rsidTr="56C85564" w14:paraId="40CFB3FC">
              <w:trPr>
                <w:trHeight w:val="300"/>
              </w:trPr>
              <w:tc>
                <w:tcPr>
                  <w:tcW w:w="14310" w:type="dxa"/>
                  <w:tcMar/>
                </w:tcPr>
                <w:p w:rsidR="56C85564" w:rsidP="56C85564" w:rsidRDefault="56C85564" w14:paraId="004183CA" w14:textId="015BDF65">
                  <w:pPr>
                    <w:spacing w:before="0" w:beforeAutospacing="off" w:after="0" w:afterAutospacing="off"/>
                  </w:pPr>
                  <w:r w:rsidRPr="56C85564" w:rsidR="56C85564">
                    <w:rPr>
                      <w:rFonts w:ascii="Arial" w:hAnsi="Arial" w:eastAsia="Arial" w:cs="Arial"/>
                      <w:b w:val="0"/>
                      <w:bCs w:val="0"/>
                      <w:color w:val="374151"/>
                      <w:sz w:val="22"/>
                      <w:szCs w:val="22"/>
                    </w:rPr>
                    <w:t>HRM100.4. (Analysis level) Outline the major organizational areas within hotels and restaurants. HRM 100 Introduction to Hospitality</w:t>
                  </w:r>
                </w:p>
              </w:tc>
            </w:tr>
            <w:tr w:rsidR="56C85564" w:rsidTr="56C85564" w14:paraId="11BC8674">
              <w:trPr>
                <w:trHeight w:val="300"/>
              </w:trPr>
              <w:tc>
                <w:tcPr>
                  <w:tcW w:w="14310" w:type="dxa"/>
                  <w:tcMar/>
                </w:tcPr>
                <w:p w:rsidR="56C85564" w:rsidP="56C85564" w:rsidRDefault="56C85564" w14:paraId="69E9BDA9" w14:textId="7147ABD5">
                  <w:pPr>
                    <w:spacing w:before="0" w:beforeAutospacing="off" w:after="0" w:afterAutospacing="off"/>
                  </w:pPr>
                  <w:r w:rsidRPr="56C85564" w:rsidR="56C85564">
                    <w:rPr>
                      <w:rFonts w:ascii="Arial" w:hAnsi="Arial" w:eastAsia="Arial" w:cs="Arial"/>
                      <w:b w:val="0"/>
                      <w:bCs w:val="0"/>
                      <w:color w:val="374151"/>
                      <w:sz w:val="22"/>
                      <w:szCs w:val="22"/>
                    </w:rPr>
                    <w:t>HRM100.3 (Analysis level) Compare and contrast lodging, foodservice, travel, tourism, attractions, recreation, and gaming establishments. HRM 100 Introduction to Hospitality</w:t>
                  </w:r>
                </w:p>
              </w:tc>
            </w:tr>
            <w:tr w:rsidR="56C85564" w:rsidTr="56C85564" w14:paraId="2F744FCE">
              <w:trPr>
                <w:trHeight w:val="300"/>
              </w:trPr>
              <w:tc>
                <w:tcPr>
                  <w:tcW w:w="14310" w:type="dxa"/>
                  <w:tcMar/>
                </w:tcPr>
                <w:p w:rsidR="56C85564" w:rsidP="56C85564" w:rsidRDefault="56C85564" w14:paraId="4C7EF03D" w14:textId="23DF37FC">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 Introduction to Hospitality</w:t>
                  </w:r>
                </w:p>
              </w:tc>
            </w:tr>
            <w:tr w:rsidR="56C85564" w:rsidTr="56C85564" w14:paraId="04CD1ED4">
              <w:trPr>
                <w:trHeight w:val="300"/>
              </w:trPr>
              <w:tc>
                <w:tcPr>
                  <w:tcW w:w="14310" w:type="dxa"/>
                  <w:tcMar/>
                </w:tcPr>
                <w:p w:rsidR="56C85564" w:rsidP="56C85564" w:rsidRDefault="56C85564" w14:paraId="54ADB5B4" w14:textId="175AA950">
                  <w:pPr>
                    <w:spacing w:before="0" w:beforeAutospacing="off" w:after="0" w:afterAutospacing="off"/>
                  </w:pPr>
                  <w:r w:rsidRPr="56C85564" w:rsidR="56C85564">
                    <w:rPr>
                      <w:rFonts w:ascii="Arial" w:hAnsi="Arial" w:eastAsia="Arial" w:cs="Arial"/>
                      <w:b w:val="0"/>
                      <w:bCs w:val="0"/>
                      <w:color w:val="374151"/>
                      <w:sz w:val="22"/>
                      <w:szCs w:val="22"/>
                    </w:rPr>
                    <w:t>HRM100.4. (Analysis level) Outline the major organizational areas within hotels and restaurants. HRM 100 Introduction to Hospitality</w:t>
                  </w:r>
                </w:p>
              </w:tc>
            </w:tr>
            <w:tr w:rsidR="56C85564" w:rsidTr="56C85564" w14:paraId="4D4854F1">
              <w:trPr>
                <w:trHeight w:val="300"/>
              </w:trPr>
              <w:tc>
                <w:tcPr>
                  <w:tcW w:w="14310" w:type="dxa"/>
                  <w:tcMar/>
                </w:tcPr>
                <w:p w:rsidR="56C85564" w:rsidP="56C85564" w:rsidRDefault="56C85564" w14:paraId="7B88A595" w14:textId="49C23FAD">
                  <w:pPr>
                    <w:spacing w:before="0" w:beforeAutospacing="off" w:after="0" w:afterAutospacing="off"/>
                  </w:pPr>
                  <w:r w:rsidRPr="56C85564" w:rsidR="56C85564">
                    <w:rPr>
                      <w:rFonts w:ascii="Arial" w:hAnsi="Arial" w:eastAsia="Arial" w:cs="Arial"/>
                      <w:b w:val="0"/>
                      <w:bCs w:val="0"/>
                      <w:color w:val="374151"/>
                      <w:sz w:val="22"/>
                      <w:szCs w:val="22"/>
                    </w:rPr>
                    <w:t>HRM103.7. (Synthesis Level) Develop marketing strategies for a food service establishment. HRM103 Managing Foodservice Operations</w:t>
                  </w:r>
                </w:p>
              </w:tc>
            </w:tr>
            <w:tr w:rsidR="56C85564" w:rsidTr="56C85564" w14:paraId="20088499">
              <w:trPr>
                <w:trHeight w:val="300"/>
              </w:trPr>
              <w:tc>
                <w:tcPr>
                  <w:tcW w:w="14310" w:type="dxa"/>
                  <w:tcMar/>
                </w:tcPr>
                <w:p w:rsidR="56C85564" w:rsidP="56C85564" w:rsidRDefault="56C85564" w14:paraId="1AF2E9AD" w14:textId="1538E81C">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bl>
          <w:p w:rsidR="56C85564" w:rsidP="56C85564" w:rsidRDefault="56C85564" w14:paraId="45B4D078" w14:textId="67BEE908">
            <w:pPr>
              <w:spacing w:line="257" w:lineRule="auto"/>
              <w:rPr>
                <w:rFonts w:ascii="Calibri" w:hAnsi="Calibri" w:eastAsia="Calibri" w:cs="Calibri"/>
                <w:b w:val="1"/>
                <w:bCs w:val="1"/>
                <w:noProof w:val="0"/>
                <w:sz w:val="22"/>
                <w:szCs w:val="22"/>
                <w:lang w:val="en-US"/>
              </w:rPr>
            </w:pPr>
          </w:p>
          <w:p w:rsidR="000BC967" w:rsidP="56C85564" w:rsidRDefault="000BC967" w14:paraId="19D87F7A" w14:textId="240A2684">
            <w:pPr>
              <w:spacing w:line="257" w:lineRule="auto"/>
              <w:rPr>
                <w:rFonts w:ascii="Calibri" w:hAnsi="Calibri" w:eastAsia="Calibri" w:cs="Calibri"/>
                <w:b w:val="1"/>
                <w:bCs w:val="1"/>
                <w:noProof w:val="0"/>
                <w:sz w:val="22"/>
                <w:szCs w:val="22"/>
                <w:lang w:val="en-US"/>
              </w:rPr>
            </w:pPr>
            <w:r w:rsidRPr="56C85564" w:rsidR="59B88C33">
              <w:rPr>
                <w:rFonts w:ascii="Calibri" w:hAnsi="Calibri" w:eastAsia="Calibri" w:cs="Calibri"/>
                <w:b w:val="1"/>
                <w:bCs w:val="1"/>
                <w:noProof w:val="0"/>
                <w:sz w:val="22"/>
                <w:szCs w:val="22"/>
                <w:lang w:val="en-US"/>
              </w:rPr>
              <w:t>6</w:t>
            </w:r>
            <w:r w:rsidRPr="56C85564" w:rsidR="5403AB9F">
              <w:rPr>
                <w:rFonts w:ascii="Calibri" w:hAnsi="Calibri" w:eastAsia="Calibri" w:cs="Calibri"/>
                <w:b w:val="1"/>
                <w:bCs w:val="1"/>
                <w:noProof w:val="0"/>
                <w:sz w:val="22"/>
                <w:szCs w:val="22"/>
                <w:lang w:val="en-US"/>
              </w:rPr>
              <w:t xml:space="preserve">.0 </w:t>
            </w:r>
            <w:r>
              <w:tab/>
            </w:r>
            <w:r w:rsidRPr="56C85564" w:rsidR="5403AB9F">
              <w:rPr>
                <w:rFonts w:ascii="Calibri" w:hAnsi="Calibri" w:eastAsia="Calibri" w:cs="Calibri"/>
                <w:b w:val="1"/>
                <w:bCs w:val="1"/>
                <w:noProof w:val="0"/>
                <w:sz w:val="22"/>
                <w:szCs w:val="22"/>
                <w:lang w:val="en-US"/>
              </w:rPr>
              <w:t>ANALYZE EVENT PLANNING AND THE EVENT MANGEMENT SECTOR</w:t>
            </w:r>
          </w:p>
          <w:tbl>
            <w:tblPr>
              <w:tblStyle w:val="TableGrid"/>
              <w:tblW w:w="0" w:type="auto"/>
              <w:tblLayout w:type="fixed"/>
              <w:tblLook w:val="06A0" w:firstRow="1" w:lastRow="0" w:firstColumn="1" w:lastColumn="0" w:noHBand="1" w:noVBand="1"/>
            </w:tblPr>
            <w:tblGrid>
              <w:gridCol w:w="14310"/>
            </w:tblGrid>
            <w:tr w:rsidR="56C85564" w:rsidTr="56C85564" w14:paraId="159F9444">
              <w:trPr>
                <w:trHeight w:val="300"/>
              </w:trPr>
              <w:tc>
                <w:tcPr>
                  <w:tcW w:w="14310" w:type="dxa"/>
                  <w:tcMar/>
                </w:tcPr>
                <w:p w:rsidR="56C85564" w:rsidP="56C85564" w:rsidRDefault="56C85564" w14:paraId="16DCC15C" w14:textId="594C9153">
                  <w:pPr>
                    <w:spacing w:before="0" w:beforeAutospacing="off" w:after="0" w:afterAutospacing="off"/>
                  </w:pPr>
                  <w:r w:rsidRPr="56C85564" w:rsidR="56C85564">
                    <w:rPr>
                      <w:rFonts w:ascii="Arial" w:hAnsi="Arial" w:eastAsia="Arial" w:cs="Arial"/>
                      <w:b w:val="0"/>
                      <w:bCs w:val="0"/>
                      <w:color w:val="374151"/>
                      <w:sz w:val="22"/>
                      <w:szCs w:val="22"/>
                    </w:rPr>
                    <w:t>This specific Events learning outcome is not paired with a College learning outcome, as it's more specific to the events field. However, students pursuing careers in event management or hospitality may benefit from coursework related to event planning and management.</w:t>
                  </w:r>
                </w:p>
              </w:tc>
            </w:tr>
            <w:tr w:rsidR="56C85564" w:rsidTr="56C85564" w14:paraId="4F64FFC4">
              <w:trPr>
                <w:trHeight w:val="300"/>
              </w:trPr>
              <w:tc>
                <w:tcPr>
                  <w:tcW w:w="14310" w:type="dxa"/>
                  <w:tcMar/>
                </w:tcPr>
                <w:p w:rsidR="56C85564" w:rsidP="56C85564" w:rsidRDefault="56C85564" w14:paraId="6DCD429E" w14:textId="7F87E110">
                  <w:pPr>
                    <w:spacing w:before="0" w:beforeAutospacing="off" w:after="0" w:afterAutospacing="off"/>
                  </w:pPr>
                  <w:r w:rsidRPr="56C85564" w:rsidR="56C85564">
                    <w:rPr>
                      <w:rFonts w:ascii="Arial" w:hAnsi="Arial" w:eastAsia="Arial" w:cs="Arial"/>
                      <w:b w:val="0"/>
                      <w:bCs w:val="0"/>
                      <w:color w:val="374151"/>
                      <w:sz w:val="22"/>
                      <w:szCs w:val="22"/>
                    </w:rPr>
                    <w:t xml:space="preserve">This specific Events learning outcome is not paired with a College learning outcome, as it's more specific to the events field. However, students do an additional lesson in class to cover this learning outcome. </w:t>
                  </w:r>
                </w:p>
              </w:tc>
            </w:tr>
            <w:tr w:rsidR="56C85564" w:rsidTr="56C85564" w14:paraId="3273084B">
              <w:trPr>
                <w:trHeight w:val="300"/>
              </w:trPr>
              <w:tc>
                <w:tcPr>
                  <w:tcW w:w="14310" w:type="dxa"/>
                  <w:tcMar/>
                </w:tcPr>
                <w:p w:rsidR="56C85564" w:rsidP="56C85564" w:rsidRDefault="56C85564" w14:paraId="62990E7D" w14:textId="11827BBE">
                  <w:pPr>
                    <w:spacing w:before="0" w:beforeAutospacing="off" w:after="0" w:afterAutospacing="off"/>
                  </w:pPr>
                  <w:r w:rsidRPr="56C85564" w:rsidR="56C85564">
                    <w:rPr>
                      <w:rFonts w:ascii="Arial" w:hAnsi="Arial" w:eastAsia="Arial" w:cs="Arial"/>
                      <w:b w:val="0"/>
                      <w:bCs w:val="0"/>
                      <w:color w:val="374151"/>
                      <w:sz w:val="22"/>
                      <w:szCs w:val="22"/>
                    </w:rPr>
                    <w:t>HRM103.7. (Synthesis Level) Develop marketing strategies for a food service establishment. HRM103 Managing Foodservice Operations</w:t>
                  </w:r>
                </w:p>
              </w:tc>
            </w:tr>
            <w:tr w:rsidR="56C85564" w:rsidTr="56C85564" w14:paraId="1F16086E">
              <w:trPr>
                <w:trHeight w:val="300"/>
              </w:trPr>
              <w:tc>
                <w:tcPr>
                  <w:tcW w:w="14310" w:type="dxa"/>
                  <w:tcMar/>
                </w:tcPr>
                <w:p w:rsidR="56C85564" w:rsidP="56C85564" w:rsidRDefault="56C85564" w14:paraId="0CCFB77B" w14:textId="17A39040">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r w:rsidR="56C85564" w:rsidTr="56C85564" w14:paraId="08E5A9A4">
              <w:trPr>
                <w:trHeight w:val="300"/>
              </w:trPr>
              <w:tc>
                <w:tcPr>
                  <w:tcW w:w="14310" w:type="dxa"/>
                  <w:tcMar/>
                </w:tcPr>
                <w:p w:rsidR="56C85564" w:rsidP="56C85564" w:rsidRDefault="56C85564" w14:paraId="015B3ACB" w14:textId="214F592D">
                  <w:pPr>
                    <w:spacing w:before="0" w:beforeAutospacing="off" w:after="0" w:afterAutospacing="off"/>
                  </w:pPr>
                  <w:r w:rsidRPr="56C85564" w:rsidR="56C85564">
                    <w:rPr>
                      <w:rFonts w:ascii="Arial" w:hAnsi="Arial" w:eastAsia="Arial" w:cs="Arial"/>
                      <w:b w:val="0"/>
                      <w:bCs w:val="0"/>
                      <w:color w:val="374151"/>
                      <w:sz w:val="22"/>
                      <w:szCs w:val="22"/>
                    </w:rPr>
                    <w:t>HRM100.8. (Evaluation Level) Compare and contrast careers within the hospitality industry by completing a career exploration project. HRM 100 Introduction to Hospitality</w:t>
                  </w:r>
                </w:p>
              </w:tc>
            </w:tr>
          </w:tbl>
          <w:p w:rsidR="56C85564" w:rsidP="56C85564" w:rsidRDefault="56C85564" w14:paraId="4FEC58F2" w14:textId="3ED60B29">
            <w:pPr>
              <w:spacing w:line="257" w:lineRule="auto"/>
              <w:rPr>
                <w:rFonts w:ascii="Calibri" w:hAnsi="Calibri" w:eastAsia="Calibri" w:cs="Calibri"/>
                <w:noProof w:val="0"/>
                <w:sz w:val="22"/>
                <w:szCs w:val="22"/>
                <w:lang w:val="en-US"/>
              </w:rPr>
            </w:pPr>
          </w:p>
          <w:p w:rsidR="000BC967" w:rsidP="56C85564" w:rsidRDefault="000BC967" w14:paraId="02F66B52" w14:textId="779835CD">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7.0 </w:t>
            </w:r>
            <w:r>
              <w:tab/>
            </w:r>
            <w:r w:rsidRPr="56C85564" w:rsidR="5403AB9F">
              <w:rPr>
                <w:rFonts w:ascii="Calibri" w:hAnsi="Calibri" w:eastAsia="Calibri" w:cs="Calibri"/>
                <w:b w:val="1"/>
                <w:bCs w:val="1"/>
                <w:noProof w:val="0"/>
                <w:sz w:val="22"/>
                <w:szCs w:val="22"/>
                <w:lang w:val="en-US"/>
              </w:rPr>
              <w:t>EXAMINE GUEST/CUSTOMER SERVICE STRATEGIES WITHIN THE HOSPITALITY AND TOURISM INDUSTRY</w:t>
            </w:r>
          </w:p>
          <w:tbl>
            <w:tblPr>
              <w:tblStyle w:val="TableGrid"/>
              <w:tblW w:w="0" w:type="auto"/>
              <w:tblLayout w:type="fixed"/>
              <w:tblLook w:val="06A0" w:firstRow="1" w:lastRow="0" w:firstColumn="1" w:lastColumn="0" w:noHBand="1" w:noVBand="1"/>
            </w:tblPr>
            <w:tblGrid>
              <w:gridCol w:w="14310"/>
            </w:tblGrid>
            <w:tr w:rsidR="56C85564" w:rsidTr="56C85564" w14:paraId="577FB0EE">
              <w:trPr>
                <w:trHeight w:val="300"/>
              </w:trPr>
              <w:tc>
                <w:tcPr>
                  <w:tcW w:w="14310" w:type="dxa"/>
                  <w:tcMar/>
                </w:tcPr>
                <w:p w:rsidR="56C85564" w:rsidP="56C85564" w:rsidRDefault="56C85564" w14:paraId="0108FA61" w14:textId="6E35EE62">
                  <w:pPr>
                    <w:spacing w:before="0" w:beforeAutospacing="off" w:after="0" w:afterAutospacing="off"/>
                  </w:pPr>
                  <w:r w:rsidRPr="56C85564" w:rsidR="56C85564">
                    <w:rPr>
                      <w:rFonts w:ascii="Arial" w:hAnsi="Arial" w:eastAsia="Arial" w:cs="Arial"/>
                      <w:b w:val="0"/>
                      <w:bCs w:val="0"/>
                      <w:color w:val="374151"/>
                      <w:sz w:val="22"/>
                      <w:szCs w:val="22"/>
                    </w:rPr>
                    <w:t>HRM102.2. (Comprehension Level) Identify safe and positive relations with employees, guests, and other hotel departments. HRM102 Guest Services Management</w:t>
                  </w:r>
                </w:p>
              </w:tc>
            </w:tr>
            <w:tr w:rsidR="56C85564" w:rsidTr="56C85564" w14:paraId="02D91EA5">
              <w:trPr>
                <w:trHeight w:val="300"/>
              </w:trPr>
              <w:tc>
                <w:tcPr>
                  <w:tcW w:w="14310" w:type="dxa"/>
                  <w:tcMar/>
                </w:tcPr>
                <w:p w:rsidR="56C85564" w:rsidP="56C85564" w:rsidRDefault="56C85564" w14:paraId="71473DE4" w14:textId="50109FCC">
                  <w:pPr>
                    <w:spacing w:before="0" w:beforeAutospacing="off" w:after="0" w:afterAutospacing="off"/>
                  </w:pPr>
                  <w:r w:rsidRPr="56C85564" w:rsidR="56C85564">
                    <w:rPr>
                      <w:rFonts w:ascii="Arial" w:hAnsi="Arial" w:eastAsia="Arial" w:cs="Arial"/>
                      <w:b w:val="0"/>
                      <w:bCs w:val="0"/>
                      <w:color w:val="374151"/>
                      <w:sz w:val="22"/>
                      <w:szCs w:val="22"/>
                    </w:rPr>
                    <w:t>HRM101.1 (Knowledge Level) Identify the spirit of total hospitality and aspire to exceed guest expectations. HRM101 Hospitality Facilities Management</w:t>
                  </w:r>
                </w:p>
              </w:tc>
            </w:tr>
            <w:tr w:rsidR="56C85564" w:rsidTr="56C85564" w14:paraId="214B3376">
              <w:trPr>
                <w:trHeight w:val="300"/>
              </w:trPr>
              <w:tc>
                <w:tcPr>
                  <w:tcW w:w="14310" w:type="dxa"/>
                  <w:tcMar/>
                </w:tcPr>
                <w:p w:rsidR="56C85564" w:rsidP="56C85564" w:rsidRDefault="56C85564" w14:paraId="54BBBF85" w14:textId="72254975">
                  <w:pPr>
                    <w:spacing w:before="0" w:beforeAutospacing="off" w:after="0" w:afterAutospacing="off"/>
                  </w:pPr>
                  <w:r w:rsidRPr="56C85564" w:rsidR="56C85564">
                    <w:rPr>
                      <w:rFonts w:ascii="Arial" w:hAnsi="Arial" w:eastAsia="Arial" w:cs="Arial"/>
                      <w:b w:val="0"/>
                      <w:bCs w:val="0"/>
                      <w:color w:val="374151"/>
                      <w:sz w:val="22"/>
                      <w:szCs w:val="22"/>
                    </w:rPr>
                    <w:t>HRM252.9. (Evaluation Level) Summarize ethical issues in business, including assessing ethical behavior and current ethical issues. HRM252 Hospitality Human Resources</w:t>
                  </w:r>
                </w:p>
              </w:tc>
            </w:tr>
            <w:tr w:rsidR="56C85564" w:rsidTr="56C85564" w14:paraId="71EB13DE">
              <w:trPr>
                <w:trHeight w:val="300"/>
              </w:trPr>
              <w:tc>
                <w:tcPr>
                  <w:tcW w:w="14310" w:type="dxa"/>
                  <w:tcMar/>
                </w:tcPr>
                <w:p w:rsidR="56C85564" w:rsidP="56C85564" w:rsidRDefault="56C85564" w14:paraId="0E8395BD" w14:textId="7821CA5D">
                  <w:pPr>
                    <w:spacing w:before="0" w:beforeAutospacing="off" w:after="0" w:afterAutospacing="off"/>
                  </w:pPr>
                  <w:r w:rsidRPr="56C85564" w:rsidR="56C85564">
                    <w:rPr>
                      <w:rFonts w:ascii="Arial" w:hAnsi="Arial" w:eastAsia="Arial" w:cs="Arial"/>
                      <w:b w:val="0"/>
                      <w:bCs w:val="0"/>
                      <w:color w:val="374151"/>
                      <w:sz w:val="22"/>
                      <w:szCs w:val="22"/>
                    </w:rPr>
                    <w:t>HRM100.7. (Evaluation level) Compare leadership and supervisory concepts within the hospitality industry. HRM 100 Introduction to Hospitality</w:t>
                  </w:r>
                </w:p>
              </w:tc>
            </w:tr>
            <w:tr w:rsidR="56C85564" w:rsidTr="56C85564" w14:paraId="6A5AA938">
              <w:trPr>
                <w:trHeight w:val="300"/>
              </w:trPr>
              <w:tc>
                <w:tcPr>
                  <w:tcW w:w="14310" w:type="dxa"/>
                  <w:tcMar/>
                </w:tcPr>
                <w:p w:rsidR="56C85564" w:rsidP="56C85564" w:rsidRDefault="56C85564" w14:paraId="3B0F42EE" w14:textId="56194B4D">
                  <w:pPr>
                    <w:spacing w:before="0" w:beforeAutospacing="off" w:after="0" w:afterAutospacing="off"/>
                  </w:pPr>
                  <w:r w:rsidRPr="56C85564" w:rsidR="56C85564">
                    <w:rPr>
                      <w:rFonts w:ascii="Arial" w:hAnsi="Arial" w:eastAsia="Arial" w:cs="Arial"/>
                      <w:b w:val="0"/>
                      <w:bCs w:val="0"/>
                      <w:color w:val="374151"/>
                      <w:sz w:val="22"/>
                      <w:szCs w:val="22"/>
                    </w:rPr>
                    <w:t>HRM100.4. (Analysis level) Outline the major organizational areas within hotels and restaurants. HRM 100 Introduction to Hospitality</w:t>
                  </w:r>
                </w:p>
              </w:tc>
            </w:tr>
            <w:tr w:rsidR="56C85564" w:rsidTr="56C85564" w14:paraId="7548FD0C">
              <w:trPr>
                <w:trHeight w:val="300"/>
              </w:trPr>
              <w:tc>
                <w:tcPr>
                  <w:tcW w:w="14310" w:type="dxa"/>
                  <w:tcMar/>
                </w:tcPr>
                <w:p w:rsidR="56C85564" w:rsidP="56C85564" w:rsidRDefault="56C85564" w14:paraId="40238F0F" w14:textId="3C51C676">
                  <w:pPr>
                    <w:spacing w:before="0" w:beforeAutospacing="off" w:after="0" w:afterAutospacing="off"/>
                  </w:pPr>
                  <w:r w:rsidRPr="56C85564" w:rsidR="56C85564">
                    <w:rPr>
                      <w:rFonts w:ascii="Arial" w:hAnsi="Arial" w:eastAsia="Arial" w:cs="Arial"/>
                      <w:b w:val="0"/>
                      <w:bCs w:val="0"/>
                      <w:color w:val="374151"/>
                      <w:sz w:val="22"/>
                      <w:szCs w:val="22"/>
                    </w:rPr>
                    <w:t>HRM102.5. (Analysis Level) Examine the functions of performance appraisals and commonly used methods of employee evaluation, compensation issues, employee benefits, incentive programs, employee assistance programs and wellness programs. HRM102 Guest Services Management</w:t>
                  </w:r>
                </w:p>
              </w:tc>
            </w:tr>
            <w:tr w:rsidR="56C85564" w:rsidTr="56C85564" w14:paraId="03598906">
              <w:trPr>
                <w:trHeight w:val="300"/>
              </w:trPr>
              <w:tc>
                <w:tcPr>
                  <w:tcW w:w="14310" w:type="dxa"/>
                  <w:tcMar/>
                </w:tcPr>
                <w:p w:rsidR="56C85564" w:rsidP="56C85564" w:rsidRDefault="56C85564" w14:paraId="5BCC475C" w14:textId="53570A74">
                  <w:pPr>
                    <w:spacing w:before="0" w:beforeAutospacing="off" w:after="0" w:afterAutospacing="off"/>
                  </w:pPr>
                  <w:r w:rsidRPr="56C85564" w:rsidR="56C85564">
                    <w:rPr>
                      <w:rFonts w:ascii="Arial" w:hAnsi="Arial" w:eastAsia="Arial" w:cs="Arial"/>
                      <w:b w:val="0"/>
                      <w:bCs w:val="0"/>
                      <w:color w:val="374151"/>
                      <w:sz w:val="22"/>
                      <w:szCs w:val="22"/>
                    </w:rPr>
                    <w:t>HRM101.4. (Comprehension Level) Discuss goals for effective and efficient facilities maintenance. HRM101 Hospitality Facilities Management</w:t>
                  </w:r>
                </w:p>
              </w:tc>
            </w:tr>
            <w:tr w:rsidR="56C85564" w:rsidTr="56C85564" w14:paraId="704D9F1F">
              <w:trPr>
                <w:trHeight w:val="300"/>
              </w:trPr>
              <w:tc>
                <w:tcPr>
                  <w:tcW w:w="14310" w:type="dxa"/>
                  <w:tcMar/>
                </w:tcPr>
                <w:p w:rsidR="56C85564" w:rsidP="56C85564" w:rsidRDefault="56C85564" w14:paraId="2E1AF5CB" w14:textId="7F95DDE8">
                  <w:pPr>
                    <w:spacing w:before="0" w:beforeAutospacing="off" w:after="0" w:afterAutospacing="off"/>
                  </w:pPr>
                  <w:r w:rsidRPr="56C85564" w:rsidR="56C85564">
                    <w:rPr>
                      <w:rFonts w:ascii="Arial" w:hAnsi="Arial" w:eastAsia="Arial" w:cs="Arial"/>
                      <w:b w:val="0"/>
                      <w:bCs w:val="0"/>
                      <w:color w:val="374151"/>
                      <w:sz w:val="22"/>
                      <w:szCs w:val="22"/>
                    </w:rPr>
                    <w:t>HRM252.6. (Analysis Level) Outline typical grievance procedures and the hospitality industry's turnover problem to identify the causes, costs and methods for reducing turnover. HRM252 Hospitality Human Resources</w:t>
                  </w:r>
                </w:p>
              </w:tc>
            </w:tr>
            <w:tr w:rsidR="56C85564" w:rsidTr="56C85564" w14:paraId="718C9AE0">
              <w:trPr>
                <w:trHeight w:val="300"/>
              </w:trPr>
              <w:tc>
                <w:tcPr>
                  <w:tcW w:w="14310" w:type="dxa"/>
                  <w:tcMar/>
                </w:tcPr>
                <w:p w:rsidR="56C85564" w:rsidP="56C85564" w:rsidRDefault="56C85564" w14:paraId="74D9485B" w14:textId="4F356E1E">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 Introduction to Hospitality</w:t>
                  </w:r>
                </w:p>
              </w:tc>
            </w:tr>
            <w:tr w:rsidR="56C85564" w:rsidTr="56C85564" w14:paraId="0E087184">
              <w:trPr>
                <w:trHeight w:val="300"/>
              </w:trPr>
              <w:tc>
                <w:tcPr>
                  <w:tcW w:w="14310" w:type="dxa"/>
                  <w:tcMar/>
                </w:tcPr>
                <w:p w:rsidR="56C85564" w:rsidP="56C85564" w:rsidRDefault="56C85564" w14:paraId="30B727FF" w14:textId="7F0FD473">
                  <w:pPr>
                    <w:spacing w:before="0" w:beforeAutospacing="off" w:after="0" w:afterAutospacing="off"/>
                  </w:pPr>
                  <w:r w:rsidRPr="56C85564" w:rsidR="56C85564">
                    <w:rPr>
                      <w:rFonts w:ascii="Arial" w:hAnsi="Arial" w:eastAsia="Arial" w:cs="Arial"/>
                      <w:b w:val="0"/>
                      <w:bCs w:val="0"/>
                      <w:color w:val="374151"/>
                      <w:sz w:val="22"/>
                      <w:szCs w:val="22"/>
                    </w:rPr>
                    <w:t>HRM102.3. (Application Level) Demonstrate and describe skills in making guestroom reservations; receiving guests at registration; assigning rooms; maintaining guestroom department records; and settling guestroom accounts at checkout. HRM102 Guest Services Management</w:t>
                  </w:r>
                </w:p>
              </w:tc>
            </w:tr>
            <w:tr w:rsidR="56C85564" w:rsidTr="56C85564" w14:paraId="0FEF7F22">
              <w:trPr>
                <w:trHeight w:val="300"/>
              </w:trPr>
              <w:tc>
                <w:tcPr>
                  <w:tcW w:w="14310" w:type="dxa"/>
                  <w:tcMar/>
                </w:tcPr>
                <w:p w:rsidR="56C85564" w:rsidP="56C85564" w:rsidRDefault="56C85564" w14:paraId="05B9ABAC" w14:textId="40498A5F">
                  <w:pPr>
                    <w:spacing w:before="0" w:beforeAutospacing="off" w:after="0" w:afterAutospacing="off"/>
                  </w:pPr>
                  <w:r w:rsidRPr="56C85564" w:rsidR="56C85564">
                    <w:rPr>
                      <w:rFonts w:ascii="Arial" w:hAnsi="Arial" w:eastAsia="Arial" w:cs="Arial"/>
                      <w:b w:val="0"/>
                      <w:bCs w:val="0"/>
                      <w:color w:val="374151"/>
                      <w:sz w:val="22"/>
                      <w:szCs w:val="22"/>
                    </w:rPr>
                    <w:t>HRM100.1. (Comprehension level) Explain the historical development of the hotel, restaurant, recreation, tourism, and travel industries. HRM 100 Introduction to Hospitality</w:t>
                  </w:r>
                </w:p>
              </w:tc>
            </w:tr>
          </w:tbl>
          <w:p w:rsidR="56C85564" w:rsidP="56C85564" w:rsidRDefault="56C85564" w14:paraId="5D99F132" w14:textId="172BBBF5">
            <w:pPr>
              <w:spacing w:line="257" w:lineRule="auto"/>
              <w:rPr>
                <w:rFonts w:ascii="Calibri" w:hAnsi="Calibri" w:eastAsia="Calibri" w:cs="Calibri"/>
                <w:b w:val="1"/>
                <w:bCs w:val="1"/>
                <w:noProof w:val="0"/>
                <w:sz w:val="22"/>
                <w:szCs w:val="22"/>
                <w:lang w:val="en-US"/>
              </w:rPr>
            </w:pPr>
          </w:p>
          <w:p w:rsidR="000BC967" w:rsidP="56C85564" w:rsidRDefault="000BC967" w14:paraId="57808226" w14:textId="1E15B0B7">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8.0 </w:t>
            </w:r>
            <w:r>
              <w:tab/>
            </w:r>
            <w:r w:rsidRPr="56C85564" w:rsidR="5403AB9F">
              <w:rPr>
                <w:rFonts w:ascii="Calibri" w:hAnsi="Calibri" w:eastAsia="Calibri" w:cs="Calibri"/>
                <w:b w:val="1"/>
                <w:bCs w:val="1"/>
                <w:noProof w:val="0"/>
                <w:sz w:val="22"/>
                <w:szCs w:val="22"/>
                <w:lang w:val="en-US"/>
              </w:rPr>
              <w:t>EVALUATE THE VALUE OF COMMUNICATION SKILLS WITHIN THE HOSPITALITY AND TOURISM INDUSTRY</w:t>
            </w:r>
          </w:p>
          <w:tbl>
            <w:tblPr>
              <w:tblStyle w:val="TableGrid"/>
              <w:tblW w:w="0" w:type="auto"/>
              <w:tblLayout w:type="fixed"/>
              <w:tblLook w:val="06A0" w:firstRow="1" w:lastRow="0" w:firstColumn="1" w:lastColumn="0" w:noHBand="1" w:noVBand="1"/>
            </w:tblPr>
            <w:tblGrid>
              <w:gridCol w:w="14310"/>
            </w:tblGrid>
            <w:tr w:rsidR="56C85564" w:rsidTr="56C85564" w14:paraId="1E3C80B8">
              <w:trPr>
                <w:trHeight w:val="300"/>
              </w:trPr>
              <w:tc>
                <w:tcPr>
                  <w:tcW w:w="14310" w:type="dxa"/>
                  <w:tcMar/>
                </w:tcPr>
                <w:p w:rsidR="56C85564" w:rsidP="56C85564" w:rsidRDefault="56C85564" w14:paraId="260BFC79" w14:textId="685986A4">
                  <w:pPr>
                    <w:spacing w:before="0" w:beforeAutospacing="off" w:after="0" w:afterAutospacing="off"/>
                  </w:pPr>
                  <w:r w:rsidRPr="56C85564" w:rsidR="56C85564">
                    <w:rPr>
                      <w:rFonts w:ascii="Arial" w:hAnsi="Arial" w:eastAsia="Arial" w:cs="Arial"/>
                      <w:b w:val="0"/>
                      <w:bCs w:val="0"/>
                      <w:color w:val="374151"/>
                      <w:sz w:val="22"/>
                      <w:szCs w:val="22"/>
                    </w:rPr>
                    <w:t>HRM252.1. (Comprehension Level) Discuss major U.S. employment and workplace laws including EEOC, EEO, ADA, OSHA, labor issues and affirmative action. HRM252 Hospitality Human Resources</w:t>
                  </w:r>
                </w:p>
              </w:tc>
            </w:tr>
            <w:tr w:rsidR="56C85564" w:rsidTr="56C85564" w14:paraId="60E983AF">
              <w:trPr>
                <w:trHeight w:val="300"/>
              </w:trPr>
              <w:tc>
                <w:tcPr>
                  <w:tcW w:w="14310" w:type="dxa"/>
                  <w:tcMar/>
                </w:tcPr>
                <w:p w:rsidR="56C85564" w:rsidP="56C85564" w:rsidRDefault="56C85564" w14:paraId="0AFDD701" w14:textId="5F1C69FA">
                  <w:pPr>
                    <w:spacing w:before="0" w:beforeAutospacing="off" w:after="0" w:afterAutospacing="off"/>
                  </w:pPr>
                  <w:r w:rsidRPr="56C85564" w:rsidR="56C85564">
                    <w:rPr>
                      <w:rFonts w:ascii="Arial" w:hAnsi="Arial" w:eastAsia="Arial" w:cs="Arial"/>
                      <w:b w:val="0"/>
                      <w:bCs w:val="0"/>
                      <w:color w:val="374151"/>
                      <w:sz w:val="22"/>
                      <w:szCs w:val="22"/>
                    </w:rPr>
                    <w:t>HRM252.2. (Comprehension Level) Explain the importance of job analysis and design and use select tools when screening applicants for the recruitment and selection process. HRM252 Hospitality Human Resources</w:t>
                  </w:r>
                </w:p>
              </w:tc>
            </w:tr>
            <w:tr w:rsidR="56C85564" w:rsidTr="56C85564" w14:paraId="418FF003">
              <w:trPr>
                <w:trHeight w:val="300"/>
              </w:trPr>
              <w:tc>
                <w:tcPr>
                  <w:tcW w:w="14310" w:type="dxa"/>
                  <w:tcMar/>
                </w:tcPr>
                <w:p w:rsidR="56C85564" w:rsidP="56C85564" w:rsidRDefault="56C85564" w14:paraId="1F1C19AF" w14:textId="32B0220B">
                  <w:pPr>
                    <w:spacing w:before="0" w:beforeAutospacing="off" w:after="0" w:afterAutospacing="off"/>
                  </w:pPr>
                  <w:r w:rsidRPr="56C85564" w:rsidR="56C85564">
                    <w:rPr>
                      <w:rFonts w:ascii="Arial" w:hAnsi="Arial" w:eastAsia="Arial" w:cs="Arial"/>
                      <w:b w:val="0"/>
                      <w:bCs w:val="0"/>
                      <w:color w:val="374151"/>
                      <w:sz w:val="22"/>
                      <w:szCs w:val="22"/>
                    </w:rPr>
                    <w:t>HRM252.3. (Evaluation Level) Evaluate methods for forecasting labor demands to identify the advantages and disadvantages of internal and external recruiting, and the functions of a computer-based Human Resource Information System (HRIS). HRM252 Hospitality Human Resources</w:t>
                  </w:r>
                </w:p>
              </w:tc>
            </w:tr>
            <w:tr w:rsidR="56C85564" w:rsidTr="56C85564" w14:paraId="76F5C718">
              <w:trPr>
                <w:trHeight w:val="300"/>
              </w:trPr>
              <w:tc>
                <w:tcPr>
                  <w:tcW w:w="14310" w:type="dxa"/>
                  <w:tcMar/>
                </w:tcPr>
                <w:p w:rsidR="56C85564" w:rsidP="56C85564" w:rsidRDefault="56C85564" w14:paraId="3A0E1571" w14:textId="17FCE2AC">
                  <w:pPr>
                    <w:spacing w:before="0" w:beforeAutospacing="off" w:after="0" w:afterAutospacing="off"/>
                  </w:pPr>
                  <w:r w:rsidRPr="56C85564" w:rsidR="56C85564">
                    <w:rPr>
                      <w:rFonts w:ascii="Arial" w:hAnsi="Arial" w:eastAsia="Arial" w:cs="Arial"/>
                      <w:b w:val="0"/>
                      <w:bCs w:val="0"/>
                      <w:color w:val="374151"/>
                      <w:sz w:val="22"/>
                      <w:szCs w:val="22"/>
                    </w:rPr>
                    <w:t>HRM252.5. (Analysis Level) Examine the functions of performance appraisals and commonly used methods of employee evaluation, compensation issues, employee benefits, incentive programs, employee assistance programs, and wellness programs. HRM252 Hospitality Human Resources</w:t>
                  </w:r>
                </w:p>
              </w:tc>
            </w:tr>
            <w:tr w:rsidR="56C85564" w:rsidTr="56C85564" w14:paraId="36F8B8A3">
              <w:trPr>
                <w:trHeight w:val="300"/>
              </w:trPr>
              <w:tc>
                <w:tcPr>
                  <w:tcW w:w="14310" w:type="dxa"/>
                  <w:tcMar/>
                </w:tcPr>
                <w:p w:rsidR="56C85564" w:rsidP="56C85564" w:rsidRDefault="56C85564" w14:paraId="76BD6715" w14:textId="521D64EC">
                  <w:pPr>
                    <w:spacing w:before="0" w:beforeAutospacing="off" w:after="0" w:afterAutospacing="off"/>
                  </w:pPr>
                  <w:r w:rsidRPr="56C85564" w:rsidR="56C85564">
                    <w:rPr>
                      <w:rFonts w:ascii="Arial" w:hAnsi="Arial" w:eastAsia="Arial" w:cs="Arial"/>
                      <w:b w:val="0"/>
                      <w:bCs w:val="0"/>
                      <w:color w:val="374151"/>
                      <w:sz w:val="22"/>
                      <w:szCs w:val="22"/>
                    </w:rPr>
                    <w:t>HRM252.8. (Evaluation Level) Describe the importance of union management relations and identify the differences between union and nonunion organizations. HRM252 Hospitality Human Resources</w:t>
                  </w:r>
                </w:p>
              </w:tc>
            </w:tr>
            <w:tr w:rsidR="56C85564" w:rsidTr="56C85564" w14:paraId="4C2851EA">
              <w:trPr>
                <w:trHeight w:val="300"/>
              </w:trPr>
              <w:tc>
                <w:tcPr>
                  <w:tcW w:w="14310" w:type="dxa"/>
                  <w:tcMar/>
                </w:tcPr>
                <w:p w:rsidR="56C85564" w:rsidP="56C85564" w:rsidRDefault="56C85564" w14:paraId="02D87179" w14:textId="0ADC25EC">
                  <w:pPr>
                    <w:spacing w:before="0" w:beforeAutospacing="off" w:after="0" w:afterAutospacing="off"/>
                  </w:pPr>
                  <w:r w:rsidRPr="56C85564" w:rsidR="56C85564">
                    <w:rPr>
                      <w:rFonts w:ascii="Arial" w:hAnsi="Arial" w:eastAsia="Arial" w:cs="Arial"/>
                      <w:b w:val="0"/>
                      <w:bCs w:val="0"/>
                      <w:color w:val="374151"/>
                      <w:sz w:val="22"/>
                      <w:szCs w:val="22"/>
                    </w:rPr>
                    <w:t>CUL105.1. (Comprehension Level) Identify and describe the need for food safety, the hazards that threaten food safety and guidelines for training employees. CUL105 Food Safety &amp; Sanitation</w:t>
                  </w:r>
                </w:p>
              </w:tc>
            </w:tr>
            <w:tr w:rsidR="56C85564" w:rsidTr="56C85564" w14:paraId="17DDDF4A">
              <w:trPr>
                <w:trHeight w:val="300"/>
              </w:trPr>
              <w:tc>
                <w:tcPr>
                  <w:tcW w:w="14310" w:type="dxa"/>
                  <w:tcMar/>
                </w:tcPr>
                <w:p w:rsidR="56C85564" w:rsidP="56C85564" w:rsidRDefault="56C85564" w14:paraId="716B9ABA" w14:textId="176469CE">
                  <w:pPr>
                    <w:spacing w:before="0" w:beforeAutospacing="off" w:after="0" w:afterAutospacing="off"/>
                  </w:pPr>
                  <w:r w:rsidRPr="56C85564" w:rsidR="56C85564">
                    <w:rPr>
                      <w:rFonts w:ascii="Arial" w:hAnsi="Arial" w:eastAsia="Arial" w:cs="Arial"/>
                      <w:b w:val="0"/>
                      <w:bCs w:val="0"/>
                      <w:color w:val="374151"/>
                      <w:sz w:val="22"/>
                      <w:szCs w:val="22"/>
                    </w:rPr>
                    <w:t>CUL105.2. (Comprehension Level) Identify and discuss food safety system development using Hazard Analysis Critical Control Point (HACCP) methods. CUL105 Food Safety &amp; Sanitation</w:t>
                  </w:r>
                </w:p>
              </w:tc>
            </w:tr>
          </w:tbl>
          <w:p w:rsidR="56C85564" w:rsidP="56C85564" w:rsidRDefault="56C85564" w14:paraId="205D7F11" w14:textId="21BF9F35">
            <w:pPr>
              <w:spacing w:line="257" w:lineRule="auto"/>
              <w:rPr>
                <w:rFonts w:ascii="Calibri" w:hAnsi="Calibri" w:eastAsia="Calibri" w:cs="Calibri"/>
                <w:b w:val="1"/>
                <w:bCs w:val="1"/>
                <w:noProof w:val="0"/>
                <w:sz w:val="22"/>
                <w:szCs w:val="22"/>
                <w:lang w:val="en-US"/>
              </w:rPr>
            </w:pPr>
          </w:p>
          <w:p w:rsidR="000BC967" w:rsidP="56C85564" w:rsidRDefault="000BC967" w14:paraId="3A56D8A4" w14:textId="276F50D9">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9.0 </w:t>
            </w:r>
            <w:r>
              <w:tab/>
            </w:r>
            <w:r w:rsidRPr="56C85564" w:rsidR="5403AB9F">
              <w:rPr>
                <w:rFonts w:ascii="Calibri" w:hAnsi="Calibri" w:eastAsia="Calibri" w:cs="Calibri"/>
                <w:b w:val="1"/>
                <w:bCs w:val="1"/>
                <w:noProof w:val="0"/>
                <w:sz w:val="22"/>
                <w:szCs w:val="22"/>
                <w:lang w:val="en-US"/>
              </w:rPr>
              <w:t>ASSESS THE SAFETY, SECURITY, AND SANITATION STANDARDS IN THE HOSPITALITY ENVIRONMENT</w:t>
            </w:r>
          </w:p>
          <w:tbl>
            <w:tblPr>
              <w:tblStyle w:val="TableGrid"/>
              <w:tblW w:w="0" w:type="auto"/>
              <w:tblLayout w:type="fixed"/>
              <w:tblLook w:val="06A0" w:firstRow="1" w:lastRow="0" w:firstColumn="1" w:lastColumn="0" w:noHBand="1" w:noVBand="1"/>
            </w:tblPr>
            <w:tblGrid>
              <w:gridCol w:w="14310"/>
            </w:tblGrid>
            <w:tr w:rsidR="56C85564" w:rsidTr="56C85564" w14:paraId="7FA77CC8">
              <w:trPr>
                <w:trHeight w:val="300"/>
              </w:trPr>
              <w:tc>
                <w:tcPr>
                  <w:tcW w:w="14310" w:type="dxa"/>
                  <w:tcMar/>
                </w:tcPr>
                <w:p w:rsidR="56C85564" w:rsidP="56C85564" w:rsidRDefault="56C85564" w14:paraId="1D25D4CE" w14:textId="37766785">
                  <w:pPr>
                    <w:spacing w:before="0" w:beforeAutospacing="off" w:after="0" w:afterAutospacing="off"/>
                  </w:pPr>
                  <w:r w:rsidRPr="56C85564" w:rsidR="56C85564">
                    <w:rPr>
                      <w:rFonts w:ascii="Arial" w:hAnsi="Arial" w:eastAsia="Arial" w:cs="Arial"/>
                      <w:b w:val="0"/>
                      <w:bCs w:val="0"/>
                      <w:color w:val="374151"/>
                      <w:sz w:val="22"/>
                      <w:szCs w:val="22"/>
                    </w:rPr>
                    <w:t>HRM101.3. (Comprehension Level) Describe how to reduce occupational injury rates through plant design and employee training. HRM101 Hospitality Facilities Management</w:t>
                  </w:r>
                </w:p>
              </w:tc>
            </w:tr>
            <w:tr w:rsidR="56C85564" w:rsidTr="56C85564" w14:paraId="4724A432">
              <w:trPr>
                <w:trHeight w:val="300"/>
              </w:trPr>
              <w:tc>
                <w:tcPr>
                  <w:tcW w:w="14310" w:type="dxa"/>
                  <w:tcMar/>
                </w:tcPr>
                <w:p w:rsidR="56C85564" w:rsidP="56C85564" w:rsidRDefault="56C85564" w14:paraId="50453F4C" w14:textId="1C6D8A09">
                  <w:pPr>
                    <w:spacing w:before="0" w:beforeAutospacing="off" w:after="0" w:afterAutospacing="off"/>
                  </w:pPr>
                  <w:r w:rsidRPr="56C85564" w:rsidR="56C85564">
                    <w:rPr>
                      <w:rFonts w:ascii="Arial" w:hAnsi="Arial" w:eastAsia="Arial" w:cs="Arial"/>
                      <w:b w:val="0"/>
                      <w:bCs w:val="0"/>
                      <w:color w:val="374151"/>
                      <w:sz w:val="22"/>
                      <w:szCs w:val="22"/>
                    </w:rPr>
                    <w:t>HRM103.5. (Analysis Level) Deconstruct safeguards for safety, risk management, and sanitation within food service operations. HRM103 Managing Foodservice Operations</w:t>
                  </w:r>
                </w:p>
              </w:tc>
            </w:tr>
            <w:tr w:rsidR="56C85564" w:rsidTr="56C85564" w14:paraId="4FBDCDC8">
              <w:trPr>
                <w:trHeight w:val="300"/>
              </w:trPr>
              <w:tc>
                <w:tcPr>
                  <w:tcW w:w="14310" w:type="dxa"/>
                  <w:tcMar/>
                </w:tcPr>
                <w:p w:rsidR="56C85564" w:rsidP="56C85564" w:rsidRDefault="56C85564" w14:paraId="0565810E" w14:textId="46B5771C">
                  <w:pPr>
                    <w:spacing w:before="0" w:beforeAutospacing="off" w:after="0" w:afterAutospacing="off"/>
                  </w:pPr>
                  <w:r w:rsidRPr="56C85564" w:rsidR="56C85564">
                    <w:rPr>
                      <w:rFonts w:ascii="Arial" w:hAnsi="Arial" w:eastAsia="Arial" w:cs="Arial"/>
                      <w:b w:val="0"/>
                      <w:bCs w:val="0"/>
                      <w:color w:val="374151"/>
                      <w:sz w:val="22"/>
                      <w:szCs w:val="22"/>
                    </w:rPr>
                    <w:t>CUL105.3. (Comprehension Level) Identify and describe the flow of food safely and effectively from purchasing, receiving, storing, preparing, cooking, holding, and serving to cooling and reheating. CUL105 Food Safety &amp; Sanitation</w:t>
                  </w:r>
                </w:p>
              </w:tc>
            </w:tr>
            <w:tr w:rsidR="56C85564" w:rsidTr="56C85564" w14:paraId="1075E0AF">
              <w:trPr>
                <w:trHeight w:val="300"/>
              </w:trPr>
              <w:tc>
                <w:tcPr>
                  <w:tcW w:w="14310" w:type="dxa"/>
                  <w:tcMar/>
                </w:tcPr>
                <w:p w:rsidR="56C85564" w:rsidP="56C85564" w:rsidRDefault="56C85564" w14:paraId="1609F3BB" w14:textId="6E44FDF8">
                  <w:pPr>
                    <w:spacing w:before="0" w:beforeAutospacing="off" w:after="0" w:afterAutospacing="off"/>
                  </w:pPr>
                  <w:r w:rsidRPr="56C85564" w:rsidR="56C85564">
                    <w:rPr>
                      <w:rFonts w:ascii="Arial" w:hAnsi="Arial" w:eastAsia="Arial" w:cs="Arial"/>
                      <w:b w:val="0"/>
                      <w:bCs w:val="0"/>
                      <w:color w:val="374151"/>
                      <w:sz w:val="22"/>
                      <w:szCs w:val="22"/>
                    </w:rPr>
                    <w:t>HRM101.4. (Comprehension Level) Discuss goals for effective and efficient facilities maintenance. HRM101 Hospitality Facilities Management</w:t>
                  </w:r>
                </w:p>
              </w:tc>
            </w:tr>
            <w:tr w:rsidR="56C85564" w:rsidTr="56C85564" w14:paraId="3BC066E2">
              <w:trPr>
                <w:trHeight w:val="300"/>
              </w:trPr>
              <w:tc>
                <w:tcPr>
                  <w:tcW w:w="14310" w:type="dxa"/>
                  <w:tcMar/>
                </w:tcPr>
                <w:p w:rsidR="56C85564" w:rsidP="56C85564" w:rsidRDefault="56C85564" w14:paraId="10B7FA4A" w14:textId="14C77DE4">
                  <w:pPr>
                    <w:spacing w:before="0" w:beforeAutospacing="off" w:after="0" w:afterAutospacing="off"/>
                  </w:pPr>
                  <w:r w:rsidRPr="56C85564" w:rsidR="56C85564">
                    <w:rPr>
                      <w:rFonts w:ascii="Arial" w:hAnsi="Arial" w:eastAsia="Arial" w:cs="Arial"/>
                      <w:b w:val="0"/>
                      <w:bCs w:val="0"/>
                      <w:color w:val="374151"/>
                      <w:sz w:val="22"/>
                      <w:szCs w:val="22"/>
                    </w:rPr>
                    <w:t>HRM101.7. (Analysis Level) Outline structural systems such as water and wastewater systems, components of electrical systems, HVAC systems and the effects on guest comfort, advantages and disadvantages of various lighting schemes, interior and exterior facilities, landscaping grounds, building roof, exterior, and foundation structures. HRM101 Hospitality Facilities Management</w:t>
                  </w:r>
                </w:p>
              </w:tc>
            </w:tr>
            <w:tr w:rsidR="56C85564" w:rsidTr="56C85564" w14:paraId="7CC560C4">
              <w:trPr>
                <w:trHeight w:val="300"/>
              </w:trPr>
              <w:tc>
                <w:tcPr>
                  <w:tcW w:w="14310" w:type="dxa"/>
                  <w:tcMar/>
                </w:tcPr>
                <w:p w:rsidR="56C85564" w:rsidP="56C85564" w:rsidRDefault="56C85564" w14:paraId="20EF6EBA" w14:textId="37C6809D">
                  <w:pPr>
                    <w:spacing w:before="0" w:beforeAutospacing="off" w:after="0" w:afterAutospacing="off"/>
                  </w:pPr>
                  <w:r w:rsidRPr="56C85564" w:rsidR="56C85564">
                    <w:rPr>
                      <w:rFonts w:ascii="Arial" w:hAnsi="Arial" w:eastAsia="Arial" w:cs="Arial"/>
                      <w:b w:val="0"/>
                      <w:bCs w:val="0"/>
                      <w:color w:val="374151"/>
                      <w:sz w:val="22"/>
                      <w:szCs w:val="22"/>
                    </w:rPr>
                    <w:t>CUL105.4. (Comprehension Level) Identify and explain the sanitary maintenance of facilities and equipment. CUL105 Food Safety &amp; Sanitation</w:t>
                  </w:r>
                </w:p>
              </w:tc>
            </w:tr>
          </w:tbl>
          <w:p w:rsidR="56C85564" w:rsidP="56C85564" w:rsidRDefault="56C85564" w14:paraId="7F7ED741" w14:textId="48C763D9">
            <w:pPr>
              <w:spacing w:line="257" w:lineRule="auto"/>
              <w:rPr>
                <w:rFonts w:ascii="Calibri" w:hAnsi="Calibri" w:eastAsia="Calibri" w:cs="Calibri"/>
                <w:b w:val="1"/>
                <w:bCs w:val="1"/>
                <w:noProof w:val="0"/>
                <w:sz w:val="22"/>
                <w:szCs w:val="22"/>
                <w:lang w:val="en-US"/>
              </w:rPr>
            </w:pPr>
          </w:p>
          <w:p w:rsidR="000BC967" w:rsidP="56C85564" w:rsidRDefault="000BC967" w14:paraId="5F3D14A4" w14:textId="6CC83359">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10.0 </w:t>
            </w:r>
            <w:r>
              <w:tab/>
            </w:r>
            <w:r w:rsidRPr="56C85564" w:rsidR="5403AB9F">
              <w:rPr>
                <w:rFonts w:ascii="Calibri" w:hAnsi="Calibri" w:eastAsia="Calibri" w:cs="Calibri"/>
                <w:b w:val="1"/>
                <w:bCs w:val="1"/>
                <w:noProof w:val="0"/>
                <w:sz w:val="22"/>
                <w:szCs w:val="22"/>
                <w:lang w:val="en-US"/>
              </w:rPr>
              <w:t>EXAMINE THE SALES AND MARKETING FUNCTION IN THE HOSPITALITY AND TOURISM INDUSTRY</w:t>
            </w:r>
          </w:p>
          <w:tbl>
            <w:tblPr>
              <w:tblStyle w:val="TableGrid"/>
              <w:tblW w:w="0" w:type="auto"/>
              <w:tblLayout w:type="fixed"/>
              <w:tblLook w:val="06A0" w:firstRow="1" w:lastRow="0" w:firstColumn="1" w:lastColumn="0" w:noHBand="1" w:noVBand="1"/>
            </w:tblPr>
            <w:tblGrid>
              <w:gridCol w:w="14310"/>
            </w:tblGrid>
            <w:tr w:rsidR="56C85564" w:rsidTr="56C85564" w14:paraId="737034D7">
              <w:trPr>
                <w:trHeight w:val="300"/>
              </w:trPr>
              <w:tc>
                <w:tcPr>
                  <w:tcW w:w="14310" w:type="dxa"/>
                  <w:tcMar/>
                </w:tcPr>
                <w:p w:rsidR="56C85564" w:rsidP="56C85564" w:rsidRDefault="56C85564" w14:paraId="66010013" w14:textId="286650EF">
                  <w:pPr>
                    <w:spacing w:before="0" w:beforeAutospacing="off" w:after="0" w:afterAutospacing="off"/>
                  </w:pPr>
                  <w:r w:rsidRPr="56C85564" w:rsidR="56C85564">
                    <w:rPr>
                      <w:rFonts w:ascii="Arial" w:hAnsi="Arial" w:eastAsia="Arial" w:cs="Arial"/>
                      <w:b w:val="0"/>
                      <w:bCs w:val="0"/>
                      <w:color w:val="374151"/>
                      <w:sz w:val="24"/>
                      <w:szCs w:val="24"/>
                    </w:rPr>
                    <w:t>1.B, which emphasizes effective communication. Identifying the components of a marketing plan requires clear and effective communication skills to convey marketing strategies and plans to various stakeholders.</w:t>
                  </w:r>
                </w:p>
              </w:tc>
            </w:tr>
            <w:tr w:rsidR="56C85564" w:rsidTr="56C85564" w14:paraId="45F7C39E">
              <w:trPr>
                <w:trHeight w:val="300"/>
              </w:trPr>
              <w:tc>
                <w:tcPr>
                  <w:tcW w:w="14310" w:type="dxa"/>
                  <w:tcMar/>
                </w:tcPr>
                <w:p w:rsidR="56C85564" w:rsidP="56C85564" w:rsidRDefault="56C85564" w14:paraId="4413B79A" w14:textId="2B284E49">
                  <w:pPr>
                    <w:spacing w:before="0" w:beforeAutospacing="off" w:after="0" w:afterAutospacing="off"/>
                  </w:pPr>
                  <w:r w:rsidRPr="56C85564" w:rsidR="56C85564">
                    <w:rPr>
                      <w:rFonts w:ascii="Arial" w:hAnsi="Arial" w:eastAsia="Arial" w:cs="Arial"/>
                      <w:b w:val="0"/>
                      <w:bCs w:val="0"/>
                      <w:color w:val="374151"/>
                      <w:sz w:val="22"/>
                      <w:szCs w:val="22"/>
                    </w:rPr>
                    <w:t>HRM103.7. (Synthesis Level) Develop marketing strategies for a food service establishment. HRM103 Managing Foodservice Operations</w:t>
                  </w:r>
                </w:p>
              </w:tc>
            </w:tr>
            <w:tr w:rsidR="56C85564" w:rsidTr="56C85564" w14:paraId="78C113FD">
              <w:trPr>
                <w:trHeight w:val="300"/>
              </w:trPr>
              <w:tc>
                <w:tcPr>
                  <w:tcW w:w="14310" w:type="dxa"/>
                  <w:tcMar/>
                </w:tcPr>
                <w:p w:rsidR="56C85564" w:rsidP="56C85564" w:rsidRDefault="56C85564" w14:paraId="4A59E431" w14:textId="5BE7E35B">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 HRM 100 Introduction to Hospitality</w:t>
                  </w:r>
                </w:p>
              </w:tc>
            </w:tr>
            <w:tr w:rsidR="56C85564" w:rsidTr="56C85564" w14:paraId="7213614A">
              <w:trPr>
                <w:trHeight w:val="300"/>
              </w:trPr>
              <w:tc>
                <w:tcPr>
                  <w:tcW w:w="14310" w:type="dxa"/>
                  <w:tcMar/>
                </w:tcPr>
                <w:p w:rsidR="56C85564" w:rsidP="56C85564" w:rsidRDefault="56C85564" w14:paraId="70D2D412" w14:textId="05C7A7FE">
                  <w:pPr>
                    <w:spacing w:before="0" w:beforeAutospacing="off" w:after="0" w:afterAutospacing="off"/>
                  </w:pPr>
                  <w:r w:rsidRPr="56C85564" w:rsidR="56C85564">
                    <w:rPr>
                      <w:rFonts w:ascii="Arial" w:hAnsi="Arial" w:eastAsia="Arial" w:cs="Arial"/>
                      <w:b w:val="0"/>
                      <w:bCs w:val="0"/>
                      <w:color w:val="374151"/>
                      <w:sz w:val="22"/>
                      <w:szCs w:val="22"/>
                    </w:rPr>
                    <w:t>CUL170.4. (Knowledge Level) Describe sales techniques for service personnel, including menu knowledge, suggestive selling and procedures for processing guest checks using current technology. CUL170 Dinning &amp; Bev. Management</w:t>
                  </w:r>
                </w:p>
              </w:tc>
            </w:tr>
            <w:tr w:rsidR="56C85564" w:rsidTr="56C85564" w14:paraId="746EA6EE">
              <w:trPr>
                <w:trHeight w:val="300"/>
              </w:trPr>
              <w:tc>
                <w:tcPr>
                  <w:tcW w:w="14310" w:type="dxa"/>
                  <w:tcMar/>
                </w:tcPr>
                <w:p w:rsidR="56C85564" w:rsidP="56C85564" w:rsidRDefault="56C85564" w14:paraId="49483D22" w14:textId="14EFAAA6">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 HRM 100 Introduction to Hospitality</w:t>
                  </w:r>
                </w:p>
              </w:tc>
            </w:tr>
            <w:tr w:rsidR="56C85564" w:rsidTr="56C85564" w14:paraId="237C9D77">
              <w:trPr>
                <w:trHeight w:val="300"/>
              </w:trPr>
              <w:tc>
                <w:tcPr>
                  <w:tcW w:w="14310" w:type="dxa"/>
                  <w:tcMar/>
                </w:tcPr>
                <w:p w:rsidR="56C85564" w:rsidP="56C85564" w:rsidRDefault="56C85564" w14:paraId="3AA7226C" w14:textId="65255F65">
                  <w:pPr>
                    <w:spacing w:before="0" w:beforeAutospacing="off" w:after="0" w:afterAutospacing="off"/>
                  </w:pPr>
                  <w:r w:rsidRPr="56C85564" w:rsidR="56C85564">
                    <w:rPr>
                      <w:rFonts w:ascii="Arial" w:hAnsi="Arial" w:eastAsia="Arial" w:cs="Arial"/>
                      <w:b w:val="0"/>
                      <w:bCs w:val="0"/>
                      <w:color w:val="374151"/>
                      <w:sz w:val="22"/>
                      <w:szCs w:val="22"/>
                    </w:rPr>
                    <w:t>CUL170.10. (Evaluation Level) Critique a restaurant facility and service and write a restaurant review. CUL170 Dinning &amp; Bev. Management</w:t>
                  </w:r>
                </w:p>
              </w:tc>
            </w:tr>
            <w:tr w:rsidR="56C85564" w:rsidTr="56C85564" w14:paraId="207FD1AA">
              <w:trPr>
                <w:trHeight w:val="300"/>
              </w:trPr>
              <w:tc>
                <w:tcPr>
                  <w:tcW w:w="14310" w:type="dxa"/>
                  <w:tcMar/>
                </w:tcPr>
                <w:p w:rsidR="56C85564" w:rsidP="56C85564" w:rsidRDefault="56C85564" w14:paraId="45426DCB" w14:textId="4B0AFF23">
                  <w:pPr>
                    <w:spacing w:before="0" w:beforeAutospacing="off" w:after="0" w:afterAutospacing="off"/>
                  </w:pPr>
                  <w:r w:rsidRPr="56C85564" w:rsidR="56C85564">
                    <w:rPr>
                      <w:rFonts w:ascii="Arial" w:hAnsi="Arial" w:eastAsia="Arial" w:cs="Arial"/>
                      <w:b w:val="0"/>
                      <w:bCs w:val="0"/>
                      <w:color w:val="374151"/>
                      <w:sz w:val="22"/>
                      <w:szCs w:val="22"/>
                    </w:rPr>
                    <w:t>HRM101.4. (Comprehension Level) Discuss goals for effective and efficient facilities maintenance. HRM101 Hospitality Facilities Management</w:t>
                  </w:r>
                </w:p>
              </w:tc>
            </w:tr>
            <w:tr w:rsidR="56C85564" w:rsidTr="56C85564" w14:paraId="38524DF8">
              <w:trPr>
                <w:trHeight w:val="300"/>
              </w:trPr>
              <w:tc>
                <w:tcPr>
                  <w:tcW w:w="14310" w:type="dxa"/>
                  <w:tcMar/>
                </w:tcPr>
                <w:p w:rsidR="56C85564" w:rsidP="56C85564" w:rsidRDefault="56C85564" w14:paraId="1DF6AF55" w14:textId="4D2F26BB">
                  <w:pPr>
                    <w:spacing w:before="0" w:beforeAutospacing="off" w:after="0" w:afterAutospacing="off"/>
                  </w:pPr>
                  <w:r w:rsidRPr="56C85564" w:rsidR="56C85564">
                    <w:rPr>
                      <w:rFonts w:ascii="Arial" w:hAnsi="Arial" w:eastAsia="Arial" w:cs="Arial"/>
                      <w:b w:val="0"/>
                      <w:bCs w:val="0"/>
                      <w:color w:val="374151"/>
                      <w:sz w:val="22"/>
                      <w:szCs w:val="22"/>
                    </w:rPr>
                    <w:t>HRM252.5. (Analysis Level) Examine the functions of performance appraisals and commonly used methods of employee evaluation, compensation issues, employee benefits, incentive programs, employee assistance programs and wellness programs. HRM252 Hospitality Human Resources</w:t>
                  </w:r>
                </w:p>
              </w:tc>
            </w:tr>
          </w:tbl>
          <w:p w:rsidR="56C85564" w:rsidP="56C85564" w:rsidRDefault="56C85564" w14:paraId="4D64496E" w14:textId="3E3E7C6D">
            <w:pPr>
              <w:spacing w:line="257" w:lineRule="auto"/>
              <w:rPr>
                <w:rFonts w:ascii="Calibri" w:hAnsi="Calibri" w:eastAsia="Calibri" w:cs="Calibri"/>
                <w:b w:val="1"/>
                <w:bCs w:val="1"/>
                <w:noProof w:val="0"/>
                <w:sz w:val="22"/>
                <w:szCs w:val="22"/>
                <w:lang w:val="en-US"/>
              </w:rPr>
            </w:pPr>
          </w:p>
          <w:p w:rsidR="000BC967" w:rsidP="56C85564" w:rsidRDefault="000BC967" w14:paraId="3718E716" w14:textId="0F2F420B">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11.0 </w:t>
            </w:r>
            <w:r>
              <w:tab/>
            </w:r>
            <w:r w:rsidRPr="56C85564" w:rsidR="5403AB9F">
              <w:rPr>
                <w:rFonts w:ascii="Calibri" w:hAnsi="Calibri" w:eastAsia="Calibri" w:cs="Calibri"/>
                <w:b w:val="1"/>
                <w:bCs w:val="1"/>
                <w:noProof w:val="0"/>
                <w:sz w:val="22"/>
                <w:szCs w:val="22"/>
                <w:lang w:val="en-US"/>
              </w:rPr>
              <w:t>EXAMINE THE MANAGEMENT AND LEADERSHIP FUNCTIONS OF THE HOSPITALITY AND TOURSIM INDUSTRY</w:t>
            </w:r>
          </w:p>
          <w:tbl>
            <w:tblPr>
              <w:tblStyle w:val="TableGrid"/>
              <w:tblW w:w="0" w:type="auto"/>
              <w:tblLayout w:type="fixed"/>
              <w:tblLook w:val="06A0" w:firstRow="1" w:lastRow="0" w:firstColumn="1" w:lastColumn="0" w:noHBand="1" w:noVBand="1"/>
            </w:tblPr>
            <w:tblGrid>
              <w:gridCol w:w="14310"/>
            </w:tblGrid>
            <w:tr w:rsidR="56C85564" w:rsidTr="56C85564" w14:paraId="151B5287">
              <w:trPr>
                <w:trHeight w:val="300"/>
              </w:trPr>
              <w:tc>
                <w:tcPr>
                  <w:tcW w:w="14310" w:type="dxa"/>
                  <w:tcMar/>
                </w:tcPr>
                <w:p w:rsidR="56C85564" w:rsidP="56C85564" w:rsidRDefault="56C85564" w14:paraId="2C659365" w14:textId="5BEAB507">
                  <w:pPr>
                    <w:spacing w:before="0" w:beforeAutospacing="off" w:after="0" w:afterAutospacing="off"/>
                  </w:pPr>
                  <w:r w:rsidRPr="56C85564" w:rsidR="56C85564">
                    <w:rPr>
                      <w:rFonts w:ascii="Arial" w:hAnsi="Arial" w:eastAsia="Arial" w:cs="Arial"/>
                      <w:b w:val="0"/>
                      <w:bCs w:val="0"/>
                      <w:color w:val="374151"/>
                      <w:sz w:val="22"/>
                      <w:szCs w:val="22"/>
                    </w:rPr>
                    <w:t>HRM252.1. (Comprehension Level) Discuss major U.S. employment and workplace laws including EEOC, EEO, ADA, OSHA, labor issues and affirmative action. HRM252 Hospitality Human Resources</w:t>
                  </w:r>
                </w:p>
              </w:tc>
            </w:tr>
            <w:tr w:rsidR="56C85564" w:rsidTr="56C85564" w14:paraId="0871684B">
              <w:trPr>
                <w:trHeight w:val="300"/>
              </w:trPr>
              <w:tc>
                <w:tcPr>
                  <w:tcW w:w="14310" w:type="dxa"/>
                  <w:tcMar/>
                </w:tcPr>
                <w:p w:rsidR="56C85564" w:rsidP="56C85564" w:rsidRDefault="56C85564" w14:paraId="4A594BB0" w14:textId="06B32E01">
                  <w:pPr>
                    <w:spacing w:before="0" w:beforeAutospacing="off" w:after="0" w:afterAutospacing="off"/>
                  </w:pPr>
                  <w:r w:rsidRPr="56C85564" w:rsidR="56C85564">
                    <w:rPr>
                      <w:rFonts w:ascii="Arial" w:hAnsi="Arial" w:eastAsia="Arial" w:cs="Arial"/>
                      <w:b w:val="0"/>
                      <w:bCs w:val="0"/>
                      <w:color w:val="374151"/>
                      <w:sz w:val="22"/>
                      <w:szCs w:val="22"/>
                    </w:rPr>
                    <w:t>HRM252.5. (Analysis Level) Examine the functions of performance appraisals and commonly used methods of employee evaluation, compensation issues, employee benefits, incentive programs, employee assistance programs and wellness programs. HRM252 Hospitality Human Resources</w:t>
                  </w:r>
                </w:p>
              </w:tc>
            </w:tr>
            <w:tr w:rsidR="56C85564" w:rsidTr="56C85564" w14:paraId="2BD50855">
              <w:trPr>
                <w:trHeight w:val="300"/>
              </w:trPr>
              <w:tc>
                <w:tcPr>
                  <w:tcW w:w="14310" w:type="dxa"/>
                  <w:tcMar/>
                </w:tcPr>
                <w:p w:rsidR="56C85564" w:rsidP="56C85564" w:rsidRDefault="56C85564" w14:paraId="11AFA974" w14:textId="535F3F0D">
                  <w:pPr>
                    <w:spacing w:before="0" w:beforeAutospacing="off" w:after="0" w:afterAutospacing="off"/>
                  </w:pPr>
                  <w:r w:rsidRPr="56C85564" w:rsidR="56C85564">
                    <w:rPr>
                      <w:rFonts w:ascii="Arial" w:hAnsi="Arial" w:eastAsia="Arial" w:cs="Arial"/>
                      <w:b w:val="0"/>
                      <w:bCs w:val="0"/>
                      <w:color w:val="374151"/>
                      <w:sz w:val="22"/>
                      <w:szCs w:val="22"/>
                    </w:rPr>
                    <w:t>HRM103.8. (Evaluation Level) Assess the elements of a food service business plan and a human resource plan. HRM103 Managing Foodservice Operations</w:t>
                  </w:r>
                </w:p>
              </w:tc>
            </w:tr>
            <w:tr w:rsidR="56C85564" w:rsidTr="56C85564" w14:paraId="06E37229">
              <w:trPr>
                <w:trHeight w:val="300"/>
              </w:trPr>
              <w:tc>
                <w:tcPr>
                  <w:tcW w:w="14310" w:type="dxa"/>
                  <w:tcMar/>
                </w:tcPr>
                <w:p w:rsidR="56C85564" w:rsidRDefault="56C85564" w14:paraId="7F096DA3" w14:textId="1F71A920"/>
              </w:tc>
            </w:tr>
            <w:tr w:rsidR="56C85564" w:rsidTr="56C85564" w14:paraId="0704D40A">
              <w:trPr>
                <w:trHeight w:val="300"/>
              </w:trPr>
              <w:tc>
                <w:tcPr>
                  <w:tcW w:w="14310" w:type="dxa"/>
                  <w:tcMar/>
                </w:tcPr>
                <w:p w:rsidR="56C85564" w:rsidP="56C85564" w:rsidRDefault="56C85564" w14:paraId="15314BD2" w14:textId="21BA4250">
                  <w:pPr>
                    <w:spacing w:before="0" w:beforeAutospacing="off" w:after="0" w:afterAutospacing="off"/>
                  </w:pPr>
                  <w:r w:rsidRPr="56C85564" w:rsidR="56C85564">
                    <w:rPr>
                      <w:rFonts w:ascii="Arial" w:hAnsi="Arial" w:eastAsia="Arial" w:cs="Arial"/>
                      <w:b w:val="0"/>
                      <w:bCs w:val="0"/>
                      <w:color w:val="374151"/>
                      <w:sz w:val="22"/>
                      <w:szCs w:val="22"/>
                    </w:rPr>
                    <w:t>HRM102.6. (Synthesis Level) Organize the staffing of the front office departments. HRM102 Guest Services Management</w:t>
                  </w:r>
                </w:p>
              </w:tc>
            </w:tr>
            <w:tr w:rsidR="56C85564" w:rsidTr="56C85564" w14:paraId="15F59F13">
              <w:trPr>
                <w:trHeight w:val="300"/>
              </w:trPr>
              <w:tc>
                <w:tcPr>
                  <w:tcW w:w="14310" w:type="dxa"/>
                  <w:tcMar/>
                </w:tcPr>
                <w:p w:rsidR="56C85564" w:rsidP="56C85564" w:rsidRDefault="56C85564" w14:paraId="7414823E" w14:textId="58CA4D21">
                  <w:pPr>
                    <w:spacing w:before="0" w:beforeAutospacing="off" w:after="0" w:afterAutospacing="off"/>
                  </w:pPr>
                  <w:r w:rsidRPr="56C85564" w:rsidR="56C85564">
                    <w:rPr>
                      <w:rFonts w:ascii="Arial" w:hAnsi="Arial" w:eastAsia="Arial" w:cs="Arial"/>
                      <w:b w:val="0"/>
                      <w:bCs w:val="0"/>
                      <w:color w:val="374151"/>
                      <w:sz w:val="22"/>
                      <w:szCs w:val="22"/>
                    </w:rPr>
                    <w:t>HRM101.2. (Comprehension Level) Describe sustainability and its role in the overall business strategy of a hospitality operation. HRM101 Hospitality Facilities Management</w:t>
                  </w:r>
                </w:p>
              </w:tc>
            </w:tr>
            <w:tr w:rsidR="56C85564" w:rsidTr="56C85564" w14:paraId="164D6E88">
              <w:trPr>
                <w:trHeight w:val="300"/>
              </w:trPr>
              <w:tc>
                <w:tcPr>
                  <w:tcW w:w="14310" w:type="dxa"/>
                  <w:tcMar/>
                </w:tcPr>
                <w:p w:rsidR="56C85564" w:rsidP="56C85564" w:rsidRDefault="56C85564" w14:paraId="4121F2C2" w14:textId="2CD9A5F8">
                  <w:pPr>
                    <w:spacing w:before="0" w:beforeAutospacing="off" w:after="0" w:afterAutospacing="off"/>
                  </w:pPr>
                  <w:r w:rsidRPr="56C85564" w:rsidR="56C85564">
                    <w:rPr>
                      <w:rFonts w:ascii="Arial" w:hAnsi="Arial" w:eastAsia="Arial" w:cs="Arial"/>
                      <w:b w:val="0"/>
                      <w:bCs w:val="0"/>
                      <w:color w:val="374151"/>
                      <w:sz w:val="22"/>
                      <w:szCs w:val="22"/>
                    </w:rPr>
                    <w:t>HRM100.4. (Analysis level) Outline the major organizational areas within hotels and restaurants. HRM 100 Introduction to Hospitality</w:t>
                  </w:r>
                </w:p>
              </w:tc>
            </w:tr>
            <w:tr w:rsidR="56C85564" w:rsidTr="56C85564" w14:paraId="0A8EE9E3">
              <w:trPr>
                <w:trHeight w:val="300"/>
              </w:trPr>
              <w:tc>
                <w:tcPr>
                  <w:tcW w:w="14310" w:type="dxa"/>
                  <w:tcMar/>
                </w:tcPr>
                <w:p w:rsidR="56C85564" w:rsidP="56C85564" w:rsidRDefault="56C85564" w14:paraId="33E00589" w14:textId="4B979FC0">
                  <w:pPr>
                    <w:spacing w:before="0" w:beforeAutospacing="off" w:after="0" w:afterAutospacing="off"/>
                  </w:pPr>
                  <w:r w:rsidRPr="56C85564" w:rsidR="56C85564">
                    <w:rPr>
                      <w:rFonts w:ascii="Arial" w:hAnsi="Arial" w:eastAsia="Arial" w:cs="Arial"/>
                      <w:b w:val="0"/>
                      <w:bCs w:val="0"/>
                      <w:color w:val="374151"/>
                      <w:sz w:val="22"/>
                      <w:szCs w:val="22"/>
                    </w:rPr>
                    <w:t>HRM252.7. (Synthesis Level) Summarize approaches to employee discipline and the proper use of discipline and termination in a hospitality organization. HRM252 Hospitality Human Resources</w:t>
                  </w:r>
                </w:p>
              </w:tc>
            </w:tr>
            <w:tr w:rsidR="56C85564" w:rsidTr="56C85564" w14:paraId="5F3BBF30">
              <w:trPr>
                <w:trHeight w:val="300"/>
              </w:trPr>
              <w:tc>
                <w:tcPr>
                  <w:tcW w:w="14310" w:type="dxa"/>
                  <w:tcMar/>
                </w:tcPr>
                <w:p w:rsidR="56C85564" w:rsidP="56C85564" w:rsidRDefault="56C85564" w14:paraId="59E09B3B" w14:textId="496399E1">
                  <w:pPr>
                    <w:spacing w:before="0" w:beforeAutospacing="off" w:after="0" w:afterAutospacing="off"/>
                  </w:pPr>
                  <w:r w:rsidRPr="56C85564" w:rsidR="56C85564">
                    <w:rPr>
                      <w:rFonts w:ascii="Arial" w:hAnsi="Arial" w:eastAsia="Arial" w:cs="Arial"/>
                      <w:b w:val="0"/>
                      <w:bCs w:val="0"/>
                      <w:color w:val="374151"/>
                      <w:sz w:val="22"/>
                      <w:szCs w:val="22"/>
                    </w:rPr>
                    <w:t>HRM100.7. (Evaluation level) Compare leadership and supervisory concepts within the hospitality industry. HRM 100 Introduction to Hospitality</w:t>
                  </w:r>
                </w:p>
              </w:tc>
            </w:tr>
            <w:tr w:rsidR="56C85564" w:rsidTr="56C85564" w14:paraId="24938226">
              <w:trPr>
                <w:trHeight w:val="300"/>
              </w:trPr>
              <w:tc>
                <w:tcPr>
                  <w:tcW w:w="14310" w:type="dxa"/>
                  <w:tcMar/>
                </w:tcPr>
                <w:p w:rsidR="56C85564" w:rsidP="56C85564" w:rsidRDefault="56C85564" w14:paraId="680B72BD" w14:textId="5AC44F8E">
                  <w:pPr>
                    <w:spacing w:before="0" w:beforeAutospacing="off" w:after="0" w:afterAutospacing="off"/>
                  </w:pPr>
                  <w:r w:rsidRPr="56C85564" w:rsidR="56C85564">
                    <w:rPr>
                      <w:rFonts w:ascii="Arial" w:hAnsi="Arial" w:eastAsia="Arial" w:cs="Arial"/>
                      <w:b w:val="0"/>
                      <w:bCs w:val="0"/>
                      <w:color w:val="374151"/>
                      <w:sz w:val="22"/>
                      <w:szCs w:val="22"/>
                    </w:rPr>
                    <w:t>HRM102.5. (Evaluation Level) Compare and contrast leadership and human resource management principles to front office management. HRM102 Guest Services Management</w:t>
                  </w:r>
                </w:p>
              </w:tc>
            </w:tr>
            <w:tr w:rsidR="56C85564" w:rsidTr="56C85564" w14:paraId="6C447A8F">
              <w:trPr>
                <w:trHeight w:val="300"/>
              </w:trPr>
              <w:tc>
                <w:tcPr>
                  <w:tcW w:w="14310" w:type="dxa"/>
                  <w:tcMar/>
                </w:tcPr>
                <w:p w:rsidR="56C85564" w:rsidP="56C85564" w:rsidRDefault="56C85564" w14:paraId="19321268" w14:textId="5A3FECD4">
                  <w:pPr>
                    <w:spacing w:before="0" w:beforeAutospacing="off" w:after="0" w:afterAutospacing="off"/>
                  </w:pPr>
                  <w:r w:rsidRPr="56C85564" w:rsidR="56C85564">
                    <w:rPr>
                      <w:rFonts w:ascii="Arial" w:hAnsi="Arial" w:eastAsia="Arial" w:cs="Arial"/>
                      <w:b w:val="0"/>
                      <w:bCs w:val="0"/>
                      <w:color w:val="374151"/>
                      <w:sz w:val="22"/>
                      <w:szCs w:val="22"/>
                    </w:rPr>
                    <w:t>HRM103.6. (Analysis Level) Examine food service costs controls and purchasing methods. HRM103 Managing Foodservice Operations</w:t>
                  </w:r>
                </w:p>
              </w:tc>
            </w:tr>
          </w:tbl>
          <w:p w:rsidR="56C85564" w:rsidP="56C85564" w:rsidRDefault="56C85564" w14:paraId="05DC2DD9" w14:textId="3636C23B">
            <w:pPr>
              <w:spacing w:line="257" w:lineRule="auto"/>
              <w:rPr>
                <w:rFonts w:ascii="Calibri" w:hAnsi="Calibri" w:eastAsia="Calibri" w:cs="Calibri"/>
                <w:b w:val="1"/>
                <w:bCs w:val="1"/>
                <w:noProof w:val="0"/>
                <w:sz w:val="22"/>
                <w:szCs w:val="22"/>
                <w:lang w:val="en-US"/>
              </w:rPr>
            </w:pPr>
          </w:p>
          <w:p w:rsidR="000BC967" w:rsidP="56C85564" w:rsidRDefault="000BC967" w14:paraId="47EDC295" w14:textId="35B31395">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12.0 </w:t>
            </w:r>
            <w:r>
              <w:tab/>
            </w:r>
            <w:r w:rsidRPr="56C85564" w:rsidR="5403AB9F">
              <w:rPr>
                <w:rFonts w:ascii="Calibri" w:hAnsi="Calibri" w:eastAsia="Calibri" w:cs="Calibri"/>
                <w:b w:val="1"/>
                <w:bCs w:val="1"/>
                <w:noProof w:val="0"/>
                <w:sz w:val="22"/>
                <w:szCs w:val="22"/>
                <w:lang w:val="en-US"/>
              </w:rPr>
              <w:t>EXPLORE FINANCIAL MANAGEMENT IN THE HOSPITALITY INDUSTRY</w:t>
            </w:r>
          </w:p>
          <w:tbl>
            <w:tblPr>
              <w:tblStyle w:val="TableGrid"/>
              <w:tblW w:w="0" w:type="auto"/>
              <w:tblLayout w:type="fixed"/>
              <w:tblLook w:val="06A0" w:firstRow="1" w:lastRow="0" w:firstColumn="1" w:lastColumn="0" w:noHBand="1" w:noVBand="1"/>
            </w:tblPr>
            <w:tblGrid>
              <w:gridCol w:w="14310"/>
            </w:tblGrid>
            <w:tr w:rsidR="56C85564" w:rsidTr="56C85564" w14:paraId="2B1FD9BC">
              <w:trPr>
                <w:trHeight w:val="300"/>
              </w:trPr>
              <w:tc>
                <w:tcPr>
                  <w:tcW w:w="14310" w:type="dxa"/>
                  <w:tcMar/>
                </w:tcPr>
                <w:p w:rsidR="56C85564" w:rsidP="56C85564" w:rsidRDefault="56C85564" w14:paraId="5C025129" w14:textId="5443FE0A">
                  <w:pPr>
                    <w:spacing w:before="0" w:beforeAutospacing="off" w:after="0" w:afterAutospacing="off"/>
                  </w:pPr>
                  <w:r w:rsidRPr="56C85564" w:rsidR="56C85564">
                    <w:rPr>
                      <w:rFonts w:ascii="Arial" w:hAnsi="Arial" w:eastAsia="Arial" w:cs="Arial"/>
                      <w:b w:val="0"/>
                      <w:bCs w:val="0"/>
                      <w:color w:val="374151"/>
                      <w:sz w:val="22"/>
                      <w:szCs w:val="22"/>
                    </w:rPr>
                    <w:t>HRM103.4. (Analysis Level) Classify menus by market attraction, feasibility, implementation challenges, and profitability. HRM103 Managing Foodservice Operations</w:t>
                  </w:r>
                </w:p>
              </w:tc>
            </w:tr>
            <w:tr w:rsidR="56C85564" w:rsidTr="56C85564" w14:paraId="40EE127D">
              <w:trPr>
                <w:trHeight w:val="300"/>
              </w:trPr>
              <w:tc>
                <w:tcPr>
                  <w:tcW w:w="14310" w:type="dxa"/>
                  <w:tcMar/>
                </w:tcPr>
                <w:p w:rsidR="56C85564" w:rsidP="56C85564" w:rsidRDefault="56C85564" w14:paraId="7EAF9DAE" w14:textId="6B404750">
                  <w:pPr>
                    <w:spacing w:before="0" w:beforeAutospacing="off" w:after="0" w:afterAutospacing="off"/>
                  </w:pPr>
                  <w:r w:rsidRPr="56C85564" w:rsidR="56C85564">
                    <w:rPr>
                      <w:rFonts w:ascii="Arial" w:hAnsi="Arial" w:eastAsia="Arial" w:cs="Arial"/>
                      <w:b w:val="0"/>
                      <w:bCs w:val="0"/>
                      <w:color w:val="374151"/>
                      <w:sz w:val="22"/>
                      <w:szCs w:val="22"/>
                    </w:rPr>
                    <w:t>HRM103.5. (Analysis Level) Deconstruct safeguards for safety, risk management, and sanitation within food service operations. HRM103 Managing Foodservice Operations</w:t>
                  </w:r>
                </w:p>
              </w:tc>
            </w:tr>
            <w:tr w:rsidR="56C85564" w:rsidTr="56C85564" w14:paraId="11B0AB68">
              <w:trPr>
                <w:trHeight w:val="300"/>
              </w:trPr>
              <w:tc>
                <w:tcPr>
                  <w:tcW w:w="14310" w:type="dxa"/>
                  <w:tcMar/>
                </w:tcPr>
                <w:p w:rsidR="56C85564" w:rsidP="56C85564" w:rsidRDefault="56C85564" w14:paraId="005A7B9E" w14:textId="1C1207F9">
                  <w:pPr>
                    <w:spacing w:before="0" w:beforeAutospacing="off" w:after="0" w:afterAutospacing="off"/>
                  </w:pPr>
                  <w:r w:rsidRPr="56C85564" w:rsidR="56C85564">
                    <w:rPr>
                      <w:rFonts w:ascii="Arial" w:hAnsi="Arial" w:eastAsia="Arial" w:cs="Arial"/>
                      <w:b w:val="0"/>
                      <w:bCs w:val="0"/>
                      <w:color w:val="374151"/>
                      <w:sz w:val="22"/>
                      <w:szCs w:val="22"/>
                    </w:rPr>
                    <w:t>HRM102.4. (Application Level) Implement revenue (yield) management procedures to maximize guest room revenue. HRM102 Guest Services Management</w:t>
                  </w:r>
                </w:p>
              </w:tc>
            </w:tr>
            <w:tr w:rsidR="56C85564" w:rsidTr="56C85564" w14:paraId="6FECB109">
              <w:trPr>
                <w:trHeight w:val="300"/>
              </w:trPr>
              <w:tc>
                <w:tcPr>
                  <w:tcW w:w="14310" w:type="dxa"/>
                  <w:tcMar/>
                </w:tcPr>
                <w:p w:rsidR="56C85564" w:rsidP="56C85564" w:rsidRDefault="56C85564" w14:paraId="58F8B074" w14:textId="4F66ABC7">
                  <w:pPr>
                    <w:spacing w:before="0" w:beforeAutospacing="off" w:after="0" w:afterAutospacing="off"/>
                  </w:pPr>
                  <w:r w:rsidRPr="56C85564" w:rsidR="56C85564">
                    <w:rPr>
                      <w:rFonts w:ascii="Arial" w:hAnsi="Arial" w:eastAsia="Arial" w:cs="Arial"/>
                      <w:b w:val="0"/>
                      <w:bCs w:val="0"/>
                      <w:color w:val="374151"/>
                      <w:sz w:val="22"/>
                      <w:szCs w:val="22"/>
                    </w:rPr>
                    <w:t>HRM101.2. (Comprehension Level) Describe the elements of a food service equipment plan. HRM101 Hospitality Facilities Management</w:t>
                  </w:r>
                </w:p>
              </w:tc>
            </w:tr>
            <w:tr w:rsidR="56C85564" w:rsidTr="56C85564" w14:paraId="4DF6853F">
              <w:trPr>
                <w:trHeight w:val="300"/>
              </w:trPr>
              <w:tc>
                <w:tcPr>
                  <w:tcW w:w="14310" w:type="dxa"/>
                  <w:tcMar/>
                </w:tcPr>
                <w:p w:rsidR="56C85564" w:rsidP="56C85564" w:rsidRDefault="56C85564" w14:paraId="75E45A6C" w14:textId="1F4112ED">
                  <w:pPr>
                    <w:spacing w:before="0" w:beforeAutospacing="off" w:after="0" w:afterAutospacing="off"/>
                  </w:pPr>
                  <w:r w:rsidRPr="56C85564" w:rsidR="56C85564">
                    <w:rPr>
                      <w:rFonts w:ascii="Arial" w:hAnsi="Arial" w:eastAsia="Arial" w:cs="Arial"/>
                      <w:b w:val="0"/>
                      <w:bCs w:val="0"/>
                      <w:color w:val="374151"/>
                      <w:sz w:val="22"/>
                      <w:szCs w:val="22"/>
                    </w:rPr>
                    <w:t>HRM100.5. (Comprehension Level) Describe marketing applications for individual and group travel within the hospitality industry. Introduction to Hospitality</w:t>
                  </w:r>
                </w:p>
              </w:tc>
            </w:tr>
            <w:tr w:rsidR="56C85564" w:rsidTr="56C85564" w14:paraId="266BDC8A">
              <w:trPr>
                <w:trHeight w:val="300"/>
              </w:trPr>
              <w:tc>
                <w:tcPr>
                  <w:tcW w:w="14310" w:type="dxa"/>
                  <w:tcMar/>
                </w:tcPr>
                <w:p w:rsidR="56C85564" w:rsidP="56C85564" w:rsidRDefault="56C85564" w14:paraId="2B198883" w14:textId="412C7A67">
                  <w:pPr>
                    <w:spacing w:before="0" w:beforeAutospacing="off" w:after="0" w:afterAutospacing="off"/>
                  </w:pPr>
                  <w:r w:rsidRPr="56C85564" w:rsidR="56C85564">
                    <w:rPr>
                      <w:rFonts w:ascii="Arial" w:hAnsi="Arial" w:eastAsia="Arial" w:cs="Arial"/>
                      <w:b w:val="0"/>
                      <w:bCs w:val="0"/>
                      <w:color w:val="374151"/>
                      <w:sz w:val="22"/>
                      <w:szCs w:val="22"/>
                    </w:rPr>
                    <w:t>CUL170.3. (Application Level) Apply guest service and customer relations skills to handling difficult situations and accommodating people with disabilities. CUL170 Dinning &amp; Bev. Management</w:t>
                  </w:r>
                </w:p>
              </w:tc>
            </w:tr>
            <w:tr w:rsidR="56C85564" w:rsidTr="56C85564" w14:paraId="74F05DC3">
              <w:trPr>
                <w:trHeight w:val="300"/>
              </w:trPr>
              <w:tc>
                <w:tcPr>
                  <w:tcW w:w="14310" w:type="dxa"/>
                  <w:tcMar/>
                </w:tcPr>
                <w:p w:rsidR="56C85564" w:rsidP="56C85564" w:rsidRDefault="56C85564" w14:paraId="08D89F14" w14:textId="17868A50">
                  <w:pPr>
                    <w:spacing w:before="0" w:beforeAutospacing="off" w:after="0" w:afterAutospacing="off"/>
                  </w:pPr>
                  <w:r w:rsidRPr="56C85564" w:rsidR="56C85564">
                    <w:rPr>
                      <w:rFonts w:ascii="Arial" w:hAnsi="Arial" w:eastAsia="Arial" w:cs="Arial"/>
                      <w:b w:val="0"/>
                      <w:bCs w:val="0"/>
                      <w:color w:val="374151"/>
                      <w:sz w:val="22"/>
                      <w:szCs w:val="22"/>
                    </w:rPr>
                    <w:t>HRM252.5. (Analysis Level) Examine the functions of performance appraisals and commonly used methods of employee evaluation, compensation issues, employee benefits, incentive programs, employee assistance programs, and wellness programs. HRM252 Hospitality Human Resources</w:t>
                  </w:r>
                </w:p>
              </w:tc>
            </w:tr>
          </w:tbl>
          <w:p w:rsidR="56C85564" w:rsidP="56C85564" w:rsidRDefault="56C85564" w14:paraId="377D3B41" w14:textId="2CC97C37">
            <w:pPr>
              <w:spacing w:line="257" w:lineRule="auto"/>
              <w:rPr>
                <w:rFonts w:ascii="Calibri" w:hAnsi="Calibri" w:eastAsia="Calibri" w:cs="Calibri"/>
                <w:b w:val="1"/>
                <w:bCs w:val="1"/>
                <w:noProof w:val="0"/>
                <w:sz w:val="22"/>
                <w:szCs w:val="22"/>
                <w:lang w:val="en-US"/>
              </w:rPr>
            </w:pPr>
          </w:p>
          <w:p w:rsidR="000BC967" w:rsidP="56C85564" w:rsidRDefault="000BC967" w14:paraId="6985D402" w14:textId="38106803">
            <w:pPr>
              <w:spacing w:line="257" w:lineRule="auto"/>
              <w:rPr>
                <w:rFonts w:ascii="Calibri" w:hAnsi="Calibri" w:eastAsia="Calibri" w:cs="Calibri"/>
                <w:b w:val="1"/>
                <w:bCs w:val="1"/>
                <w:noProof w:val="0"/>
                <w:sz w:val="22"/>
                <w:szCs w:val="22"/>
                <w:lang w:val="en-US"/>
              </w:rPr>
            </w:pPr>
            <w:r w:rsidRPr="56C85564" w:rsidR="5403AB9F">
              <w:rPr>
                <w:rFonts w:ascii="Calibri" w:hAnsi="Calibri" w:eastAsia="Calibri" w:cs="Calibri"/>
                <w:b w:val="1"/>
                <w:bCs w:val="1"/>
                <w:noProof w:val="0"/>
                <w:sz w:val="22"/>
                <w:szCs w:val="22"/>
                <w:lang w:val="en-US"/>
              </w:rPr>
              <w:t xml:space="preserve">13.0 </w:t>
            </w:r>
            <w:r>
              <w:tab/>
            </w:r>
            <w:r w:rsidRPr="56C85564" w:rsidR="5403AB9F">
              <w:rPr>
                <w:rFonts w:ascii="Calibri" w:hAnsi="Calibri" w:eastAsia="Calibri" w:cs="Calibri"/>
                <w:b w:val="1"/>
                <w:bCs w:val="1"/>
                <w:noProof w:val="0"/>
                <w:sz w:val="22"/>
                <w:szCs w:val="22"/>
                <w:lang w:val="en-US"/>
              </w:rPr>
              <w:t>EXPLORE THE LEGAL AND ETHICAL RESPONSIBILITIES IN THE HOSPITALITY AND TOURISM INDUSTRY</w:t>
            </w:r>
          </w:p>
          <w:tbl>
            <w:tblPr>
              <w:tblStyle w:val="TableGrid"/>
              <w:tblW w:w="0" w:type="auto"/>
              <w:tblLayout w:type="fixed"/>
              <w:tblLook w:val="06A0" w:firstRow="1" w:lastRow="0" w:firstColumn="1" w:lastColumn="0" w:noHBand="1" w:noVBand="1"/>
            </w:tblPr>
            <w:tblGrid>
              <w:gridCol w:w="14310"/>
            </w:tblGrid>
            <w:tr w:rsidR="56C85564" w:rsidTr="56C85564" w14:paraId="15B3A073">
              <w:trPr>
                <w:trHeight w:val="300"/>
              </w:trPr>
              <w:tc>
                <w:tcPr>
                  <w:tcW w:w="14310" w:type="dxa"/>
                  <w:tcMar/>
                </w:tcPr>
                <w:p w:rsidR="56C85564" w:rsidP="56C85564" w:rsidRDefault="56C85564" w14:paraId="6ACBBD24" w14:textId="486070E0">
                  <w:pPr>
                    <w:spacing w:before="0" w:beforeAutospacing="off" w:after="0" w:afterAutospacing="off"/>
                  </w:pPr>
                  <w:r w:rsidRPr="56C85564" w:rsidR="56C85564">
                    <w:rPr>
                      <w:rFonts w:ascii="Arial" w:hAnsi="Arial" w:eastAsia="Arial" w:cs="Arial"/>
                      <w:b w:val="0"/>
                      <w:bCs w:val="0"/>
                      <w:color w:val="374151"/>
                      <w:sz w:val="22"/>
                      <w:szCs w:val="22"/>
                    </w:rPr>
                    <w:t>HRM252.9. (Evaluation Level) Summarize ethical issues in business, including assessing ethical behavior and current ethical issues. HRM252 Hospitality Human Resources</w:t>
                  </w:r>
                </w:p>
              </w:tc>
            </w:tr>
            <w:tr w:rsidR="56C85564" w:rsidTr="56C85564" w14:paraId="3FBBCF91">
              <w:trPr>
                <w:trHeight w:val="300"/>
              </w:trPr>
              <w:tc>
                <w:tcPr>
                  <w:tcW w:w="14310" w:type="dxa"/>
                  <w:tcMar/>
                </w:tcPr>
                <w:p w:rsidR="56C85564" w:rsidP="56C85564" w:rsidRDefault="56C85564" w14:paraId="44568F9A" w14:textId="60C0DC4E">
                  <w:pPr>
                    <w:spacing w:before="0" w:beforeAutospacing="off" w:after="0" w:afterAutospacing="off"/>
                  </w:pPr>
                  <w:r w:rsidRPr="56C85564" w:rsidR="56C85564">
                    <w:rPr>
                      <w:rFonts w:ascii="Arial" w:hAnsi="Arial" w:eastAsia="Arial" w:cs="Arial"/>
                      <w:b w:val="0"/>
                      <w:bCs w:val="0"/>
                      <w:color w:val="374151"/>
                      <w:sz w:val="22"/>
                      <w:szCs w:val="22"/>
                    </w:rPr>
                    <w:t>HRM252.9. (Evaluation Level) Summarize ethical issues in business, including assessing ethical behavior and current ethical issues. HRM252 Hospitality Human Resources</w:t>
                  </w:r>
                </w:p>
              </w:tc>
            </w:tr>
            <w:tr w:rsidR="56C85564" w:rsidTr="56C85564" w14:paraId="356DECB0">
              <w:trPr>
                <w:trHeight w:val="300"/>
              </w:trPr>
              <w:tc>
                <w:tcPr>
                  <w:tcW w:w="14310" w:type="dxa"/>
                  <w:tcMar/>
                </w:tcPr>
                <w:p w:rsidR="56C85564" w:rsidP="56C85564" w:rsidRDefault="56C85564" w14:paraId="50D3DE66" w14:textId="52D09EB0">
                  <w:pPr>
                    <w:spacing w:before="0" w:beforeAutospacing="off" w:after="0" w:afterAutospacing="off"/>
                  </w:pPr>
                  <w:r w:rsidRPr="56C85564" w:rsidR="56C85564">
                    <w:rPr>
                      <w:rFonts w:ascii="Arial" w:hAnsi="Arial" w:eastAsia="Arial" w:cs="Arial"/>
                      <w:b w:val="0"/>
                      <w:bCs w:val="0"/>
                      <w:color w:val="374151"/>
                      <w:sz w:val="22"/>
                      <w:szCs w:val="22"/>
                    </w:rPr>
                    <w:t>HRM252.5. (Analysis Level) Examine the functions of performance appraisals and commonly used methods of employee evaluation, compensation issues, employee benefits, incentive programs, employee assistance programs, and wellness programs. HRM252 Hospitality Human Resources</w:t>
                  </w:r>
                </w:p>
              </w:tc>
            </w:tr>
            <w:tr w:rsidR="56C85564" w:rsidTr="56C85564" w14:paraId="42810B00">
              <w:trPr>
                <w:trHeight w:val="300"/>
              </w:trPr>
              <w:tc>
                <w:tcPr>
                  <w:tcW w:w="14310" w:type="dxa"/>
                  <w:tcMar/>
                </w:tcPr>
                <w:p w:rsidR="56C85564" w:rsidP="56C85564" w:rsidRDefault="56C85564" w14:paraId="5139FA00" w14:textId="20321240">
                  <w:pPr>
                    <w:spacing w:before="0" w:beforeAutospacing="off" w:after="0" w:afterAutospacing="off"/>
                  </w:pPr>
                  <w:r w:rsidRPr="56C85564" w:rsidR="56C85564">
                    <w:rPr>
                      <w:rFonts w:ascii="Arial" w:hAnsi="Arial" w:eastAsia="Arial" w:cs="Arial"/>
                      <w:b w:val="0"/>
                      <w:bCs w:val="0"/>
                      <w:color w:val="374151"/>
                      <w:sz w:val="22"/>
                      <w:szCs w:val="22"/>
                    </w:rPr>
                    <w:t>HRM252.5. (Analysis Level) Examine the functions of performance appraisals and commonly used methods of employee evaluation, compensation issues, employee benefits, incentive programs, employee assistance programs, and wellness programs. HRM252 Hospitality Human Resources</w:t>
                  </w:r>
                </w:p>
              </w:tc>
            </w:tr>
          </w:tbl>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56C85564"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31C2A76" w:rsidRDefault="000BC967" w14:paraId="0A1C198A" w14:textId="5EBAE00A">
            <w:pPr>
              <w:spacing w:line="257" w:lineRule="auto"/>
            </w:pPr>
            <w:r w:rsidRPr="031C2A76" w:rsidR="61DEF38A">
              <w:rPr>
                <w:rFonts w:ascii="Calibri" w:hAnsi="Calibri" w:eastAsia="Calibri" w:cs="Calibri"/>
                <w:noProof w:val="0"/>
                <w:sz w:val="22"/>
                <w:szCs w:val="22"/>
                <w:lang w:val="en-US"/>
              </w:rPr>
              <w:t>The Arizona Department of Education CTE (Career and Technical Education) State Standards test is a standardized assessment designed to measure students' knowledge and understanding of the CTE State Standards in Arizona. The test assesses students' competency in technical skills, employability skills, and academic concepts related to their chosen career pathway.</w:t>
            </w:r>
          </w:p>
          <w:p w:rsidR="000BC967" w:rsidP="031C2A76" w:rsidRDefault="000BC967" w14:paraId="10D856E2" w14:textId="2AB7AD77">
            <w:pPr>
              <w:spacing w:line="257" w:lineRule="auto"/>
            </w:pPr>
            <w:r w:rsidRPr="031C2A76" w:rsidR="61DEF38A">
              <w:rPr>
                <w:rFonts w:ascii="Calibri" w:hAnsi="Calibri" w:eastAsia="Calibri" w:cs="Calibri"/>
                <w:noProof w:val="0"/>
                <w:sz w:val="22"/>
                <w:szCs w:val="22"/>
                <w:lang w:val="en-US"/>
              </w:rPr>
              <w:t xml:space="preserve"> </w:t>
            </w:r>
          </w:p>
          <w:p w:rsidR="000BC967" w:rsidP="031C2A76" w:rsidRDefault="000BC967" w14:paraId="1313A743" w14:textId="261BE48B">
            <w:pPr>
              <w:spacing w:line="257" w:lineRule="auto"/>
              <w:rPr>
                <w:rFonts w:ascii="Calibri" w:hAnsi="Calibri" w:eastAsia="Calibri" w:cs="Calibri"/>
                <w:noProof w:val="0"/>
                <w:sz w:val="22"/>
                <w:szCs w:val="22"/>
                <w:lang w:val="en-US"/>
              </w:rPr>
            </w:pPr>
            <w:r w:rsidRPr="031C2A76" w:rsidR="61DEF38A">
              <w:rPr>
                <w:rFonts w:ascii="Calibri" w:hAnsi="Calibri" w:eastAsia="Calibri" w:cs="Calibri"/>
                <w:noProof w:val="0"/>
                <w:sz w:val="22"/>
                <w:szCs w:val="22"/>
                <w:lang w:val="en-US"/>
              </w:rPr>
              <w:t xml:space="preserve">The CTE State Standards test is built by Hospitality and Culinary Industry Professionals and educators. It consists of 100 multiple-choice questions across 12 Department of Education-adopted state standards for students' ability to apply their knowledge to real-world scenarios. The test is updated every 5 years and pools from a bank of over 500 questions. </w:t>
            </w:r>
          </w:p>
          <w:p w:rsidR="000BC967" w:rsidP="031C2A76" w:rsidRDefault="000BC967" w14:paraId="17874749" w14:textId="6795A310">
            <w:pPr>
              <w:spacing w:line="257" w:lineRule="auto"/>
            </w:pPr>
            <w:r w:rsidRPr="031C2A76" w:rsidR="61DEF38A">
              <w:rPr>
                <w:rFonts w:ascii="Calibri" w:hAnsi="Calibri" w:eastAsia="Calibri" w:cs="Calibri"/>
                <w:noProof w:val="0"/>
                <w:sz w:val="22"/>
                <w:szCs w:val="22"/>
                <w:lang w:val="en-US"/>
              </w:rPr>
              <w:t xml:space="preserve"> </w:t>
            </w:r>
          </w:p>
          <w:p w:rsidR="000BC967" w:rsidP="031C2A76" w:rsidRDefault="000BC967" w14:paraId="276B2A16" w14:textId="215F5EBC">
            <w:pPr>
              <w:spacing w:line="257" w:lineRule="auto"/>
            </w:pPr>
            <w:r w:rsidRPr="031C2A76" w:rsidR="61DEF38A">
              <w:rPr>
                <w:rFonts w:ascii="Calibri" w:hAnsi="Calibri" w:eastAsia="Calibri" w:cs="Calibri"/>
                <w:noProof w:val="0"/>
                <w:sz w:val="22"/>
                <w:szCs w:val="22"/>
                <w:lang w:val="en-US"/>
              </w:rPr>
              <w:t>The test is designed to provide students with the opportunity to demonstrate their understanding of the Hospitality industry State Standards and to prepare them for success in their future careers. Additionally, the test results provide valuable feedback to educators on the effectiveness of their teaching and the quality of their CTE programs. The Arizona Department of Education CTE State Standards test is an essential tool for measuring students' readiness for the workforce and ensuring that Arizona's CTE programs provide students with the necessary skills to succeed in their chosen careers.</w:t>
            </w:r>
          </w:p>
          <w:p w:rsidR="000BC967" w:rsidP="031C2A76" w:rsidRDefault="000BC967" w14:paraId="5A2FFAE4" w14:textId="59997638">
            <w:pPr>
              <w:pStyle w:val="Normal"/>
              <w:spacing w:line="257" w:lineRule="auto"/>
              <w:rPr>
                <w:rFonts w:ascii="Calibri" w:hAnsi="Calibri" w:eastAsia="Calibri" w:cs="Calibri"/>
                <w:noProof w:val="0"/>
                <w:sz w:val="22"/>
                <w:szCs w:val="22"/>
                <w:lang w:val="en-US"/>
              </w:rPr>
            </w:pPr>
          </w:p>
          <w:p w:rsidR="000BC967" w:rsidP="031C2A76" w:rsidRDefault="000BC967" w14:paraId="167F680C" w14:textId="5A4962FA">
            <w:pPr>
              <w:pStyle w:val="Normal"/>
              <w:spacing w:line="257" w:lineRule="auto"/>
              <w:rPr>
                <w:rFonts w:ascii="Calibri" w:hAnsi="Calibri" w:eastAsia="Calibri" w:cs="Calibri"/>
                <w:noProof w:val="0"/>
                <w:sz w:val="22"/>
                <w:szCs w:val="22"/>
                <w:lang w:val="en-US"/>
              </w:rPr>
            </w:pPr>
            <w:r w:rsidRPr="031C2A76" w:rsidR="61DEF38A">
              <w:rPr>
                <w:rFonts w:ascii="Calibri" w:hAnsi="Calibri" w:eastAsia="Calibri" w:cs="Calibri"/>
                <w:noProof w:val="0"/>
                <w:sz w:val="22"/>
                <w:szCs w:val="22"/>
                <w:lang w:val="en-US"/>
              </w:rPr>
              <w:t>Students are required to pass with a 65% or higher to achieve a certificate denoting a comprehensive understanding of the hospitality industry.</w:t>
            </w:r>
          </w:p>
          <w:p w:rsidR="000BC967" w:rsidP="031C2A76" w:rsidRDefault="000BC967" w14:paraId="02C18DD8" w14:textId="3EBEE217">
            <w:pPr>
              <w:pStyle w:val="Normal"/>
              <w:spacing w:line="259" w:lineRule="auto"/>
              <w:rPr>
                <w:rFonts w:ascii="Calibri" w:hAnsi="Calibri" w:eastAsia="Calibri" w:cs="Calibri"/>
                <w:b w:val="1"/>
                <w:bCs w:val="1"/>
                <w:color w:val="000000" w:themeColor="text1"/>
                <w:sz w:val="24"/>
                <w:szCs w:val="24"/>
              </w:rPr>
            </w:pPr>
          </w:p>
        </w:tc>
      </w:tr>
      <w:tr w:rsidR="000BC967" w:rsidTr="56C85564" w14:paraId="054664FE" w14:textId="77777777">
        <w:trPr>
          <w:trHeight w:val="420"/>
        </w:trPr>
        <w:tc>
          <w:tcPr>
            <w:tcW w:w="14526" w:type="dxa"/>
            <w:shd w:val="clear" w:color="auto" w:fill="FFC000" w:themeFill="accent4"/>
            <w:tcMar/>
          </w:tcPr>
          <w:p w:rsidR="238E5920" w:rsidP="000BC967" w:rsidRDefault="238E5920" w14:paraId="6AF770AA" w14:textId="112FEAB2">
            <w:pPr>
              <w:jc w:val="center"/>
              <w:rPr>
                <w:rFonts w:ascii="Times New Roman" w:hAnsi="Times New Roman" w:eastAsia="Times New Roman" w:cs="Times New Roman"/>
                <w:b w:val="1"/>
                <w:bCs w:val="1"/>
                <w:color w:val="000000" w:themeColor="text1"/>
                <w:sz w:val="30"/>
                <w:szCs w:val="30"/>
              </w:rPr>
            </w:pPr>
            <w:r w:rsidRPr="031C2A76"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031C2A76" w:rsidR="04A6C242">
              <w:rPr>
                <w:rFonts w:ascii="Times New Roman" w:hAnsi="Times New Roman" w:eastAsia="Times New Roman" w:cs="Times New Roman"/>
                <w:b w:val="1"/>
                <w:bCs w:val="1"/>
                <w:color w:val="000000" w:themeColor="text1" w:themeTint="FF" w:themeShade="FF"/>
                <w:sz w:val="30"/>
                <w:szCs w:val="30"/>
              </w:rPr>
              <w:t>Re</w:t>
            </w:r>
            <w:r w:rsidRPr="031C2A76" w:rsidR="2B4EC63E">
              <w:rPr>
                <w:rFonts w:ascii="Times New Roman" w:hAnsi="Times New Roman" w:eastAsia="Times New Roman" w:cs="Times New Roman"/>
                <w:b w:val="1"/>
                <w:bCs w:val="1"/>
                <w:color w:val="000000" w:themeColor="text1" w:themeTint="FF" w:themeShade="FF"/>
                <w:sz w:val="30"/>
                <w:szCs w:val="30"/>
              </w:rPr>
              <w:t>s</w:t>
            </w:r>
            <w:r w:rsidRPr="031C2A76"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031C2A76" w:rsidR="723CEE85">
              <w:rPr>
                <w:rFonts w:ascii="Times New Roman" w:hAnsi="Times New Roman" w:eastAsia="Times New Roman" w:cs="Times New Roman"/>
                <w:b w:val="1"/>
                <w:bCs w:val="1"/>
                <w:color w:val="000000" w:themeColor="text1" w:themeTint="FF" w:themeShade="FF"/>
                <w:sz w:val="30"/>
                <w:szCs w:val="30"/>
              </w:rPr>
              <w:t>December 1</w:t>
            </w:r>
            <w:r w:rsidRPr="031C2A76" w:rsidR="20236702">
              <w:rPr>
                <w:rFonts w:ascii="Times New Roman" w:hAnsi="Times New Roman" w:eastAsia="Times New Roman" w:cs="Times New Roman"/>
                <w:b w:val="1"/>
                <w:bCs w:val="1"/>
                <w:color w:val="000000" w:themeColor="text1" w:themeTint="FF" w:themeShade="FF"/>
                <w:sz w:val="30"/>
                <w:szCs w:val="30"/>
              </w:rPr>
              <w:t>0</w:t>
            </w:r>
            <w:r w:rsidRPr="031C2A76" w:rsidR="723CEE85">
              <w:rPr>
                <w:rFonts w:ascii="Times New Roman" w:hAnsi="Times New Roman" w:eastAsia="Times New Roman" w:cs="Times New Roman"/>
                <w:b w:val="1"/>
                <w:bCs w:val="1"/>
                <w:color w:val="000000" w:themeColor="text1" w:themeTint="FF" w:themeShade="FF"/>
                <w:sz w:val="30"/>
                <w:szCs w:val="30"/>
              </w:rPr>
              <w:t>, 202</w:t>
            </w:r>
            <w:r w:rsidRPr="031C2A76" w:rsidR="34349084">
              <w:rPr>
                <w:rFonts w:ascii="Times New Roman" w:hAnsi="Times New Roman" w:eastAsia="Times New Roman" w:cs="Times New Roman"/>
                <w:b w:val="1"/>
                <w:bCs w:val="1"/>
                <w:color w:val="000000" w:themeColor="text1" w:themeTint="FF" w:themeShade="FF"/>
                <w:sz w:val="30"/>
                <w:szCs w:val="30"/>
              </w:rPr>
              <w:t>2</w:t>
            </w:r>
          </w:p>
        </w:tc>
      </w:tr>
      <w:tr w:rsidR="000BC967" w:rsidTr="56C85564" w14:paraId="216DE764" w14:textId="77777777">
        <w:trPr>
          <w:trHeight w:val="1600"/>
        </w:trPr>
        <w:tc>
          <w:tcPr>
            <w:tcW w:w="14526" w:type="dxa"/>
            <w:tcMar/>
          </w:tcPr>
          <w:p w:rsidR="2D202CE4" w:rsidP="000BC967" w:rsidRDefault="2D202CE4" w14:paraId="738584EB" w14:textId="47C84D43">
            <w:pPr>
              <w:spacing w:line="259" w:lineRule="auto"/>
              <w:rPr>
                <w:rFonts w:ascii="Calibri" w:hAnsi="Calibri" w:eastAsia="Calibri" w:cs="Calibri"/>
                <w:b w:val="1"/>
                <w:bCs w:val="1"/>
                <w:color w:val="000000" w:themeColor="text1"/>
                <w:sz w:val="24"/>
                <w:szCs w:val="24"/>
              </w:rPr>
            </w:pPr>
            <w:r w:rsidRPr="031C2A76"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031C2A76" w:rsidR="3EC26894">
              <w:rPr>
                <w:rFonts w:ascii="Calibri" w:hAnsi="Calibri" w:eastAsia="Calibri" w:cs="Calibri"/>
                <w:b w:val="1"/>
                <w:bCs w:val="1"/>
                <w:color w:val="000000" w:themeColor="text1" w:themeTint="FF" w:themeShade="FF"/>
                <w:sz w:val="24"/>
                <w:szCs w:val="24"/>
              </w:rPr>
              <w:t>must</w:t>
            </w:r>
            <w:r w:rsidRPr="031C2A76"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2F73C078" w:rsidP="031C2A76" w:rsidRDefault="2F73C078" w14:paraId="3BE5A863" w14:textId="534C01D0">
            <w:pPr>
              <w:pStyle w:val="Normal"/>
              <w:spacing w:line="259" w:lineRule="auto"/>
            </w:pPr>
            <w:r w:rsidR="2F73C078">
              <w:drawing>
                <wp:inline wp14:editId="7BAD30E0" wp14:anchorId="29E4A936">
                  <wp:extent cx="6257925" cy="2229386"/>
                  <wp:effectExtent l="0" t="0" r="0" b="0"/>
                  <wp:docPr id="1527526727" name="" title=""/>
                  <wp:cNvGraphicFramePr>
                    <a:graphicFrameLocks noChangeAspect="1"/>
                  </wp:cNvGraphicFramePr>
                  <a:graphic>
                    <a:graphicData uri="http://schemas.openxmlformats.org/drawingml/2006/picture">
                      <pic:pic>
                        <pic:nvPicPr>
                          <pic:cNvPr id="0" name=""/>
                          <pic:cNvPicPr/>
                        </pic:nvPicPr>
                        <pic:blipFill>
                          <a:blip r:embed="Ra7f86662b86940ee">
                            <a:extLst>
                              <a:ext xmlns:a="http://schemas.openxmlformats.org/drawingml/2006/main" uri="{28A0092B-C50C-407E-A947-70E740481C1C}">
                                <a14:useLocalDpi val="0"/>
                              </a:ext>
                            </a:extLst>
                          </a:blip>
                          <a:stretch>
                            <a:fillRect/>
                          </a:stretch>
                        </pic:blipFill>
                        <pic:spPr>
                          <a:xfrm>
                            <a:off x="0" y="0"/>
                            <a:ext cx="6257925" cy="2229386"/>
                          </a:xfrm>
                          <a:prstGeom prst="rect">
                            <a:avLst/>
                          </a:prstGeom>
                        </pic:spPr>
                      </pic:pic>
                    </a:graphicData>
                  </a:graphic>
                </wp:inline>
              </w:drawing>
            </w:r>
          </w:p>
          <w:p w:rsidR="000BC967" w:rsidP="031C2A76" w:rsidRDefault="000BC967" w14:paraId="425BA48E" w14:textId="56D4986F">
            <w:pPr>
              <w:rPr>
                <w:rFonts w:ascii="Times New Roman" w:hAnsi="Times New Roman" w:eastAsia="Times New Roman" w:cs="Times New Roman"/>
                <w:color w:val="000000" w:themeColor="text1" w:themeTint="FF" w:themeShade="FF"/>
                <w:sz w:val="30"/>
                <w:szCs w:val="30"/>
              </w:rPr>
            </w:pPr>
          </w:p>
          <w:p w:rsidR="000BC967" w:rsidP="031C2A76" w:rsidRDefault="000BC967" w14:paraId="671C0301" w14:textId="4726BCC2">
            <w:pPr>
              <w:pStyle w:val="Normal"/>
            </w:pPr>
            <w:r w:rsidR="5CA7FC01">
              <w:drawing>
                <wp:inline wp14:editId="009AC9EC" wp14:anchorId="372DC2B2">
                  <wp:extent cx="8582025" cy="3003709"/>
                  <wp:effectExtent l="0" t="0" r="0" b="0"/>
                  <wp:docPr id="1179701174" name="" title=""/>
                  <wp:cNvGraphicFramePr>
                    <a:graphicFrameLocks noChangeAspect="1"/>
                  </wp:cNvGraphicFramePr>
                  <a:graphic>
                    <a:graphicData uri="http://schemas.openxmlformats.org/drawingml/2006/picture">
                      <pic:pic>
                        <pic:nvPicPr>
                          <pic:cNvPr id="0" name=""/>
                          <pic:cNvPicPr/>
                        </pic:nvPicPr>
                        <pic:blipFill>
                          <a:blip r:embed="Rb00e0d06e4af42fe">
                            <a:extLst>
                              <a:ext xmlns:a="http://schemas.openxmlformats.org/drawingml/2006/main" uri="{28A0092B-C50C-407E-A947-70E740481C1C}">
                                <a14:useLocalDpi val="0"/>
                              </a:ext>
                            </a:extLst>
                          </a:blip>
                          <a:stretch>
                            <a:fillRect/>
                          </a:stretch>
                        </pic:blipFill>
                        <pic:spPr>
                          <a:xfrm>
                            <a:off x="0" y="0"/>
                            <a:ext cx="8582025" cy="3003709"/>
                          </a:xfrm>
                          <a:prstGeom prst="rect">
                            <a:avLst/>
                          </a:prstGeom>
                        </pic:spPr>
                      </pic:pic>
                    </a:graphicData>
                  </a:graphic>
                </wp:inline>
              </w:drawing>
            </w:r>
          </w:p>
        </w:tc>
      </w:tr>
      <w:tr w:rsidR="000BC967" w:rsidTr="56C85564"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6842DACE"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6842DACE" w:rsidP="6842DACE" w:rsidRDefault="6842DACE" w14:paraId="19BB8271" w14:textId="6F626D3B">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633F4CCC">
            <w:pPr>
              <w:rPr>
                <w:rFonts w:ascii="Times New Roman" w:hAnsi="Times New Roman" w:eastAsia="Times New Roman" w:cs="Times New Roman"/>
                <w:color w:val="000000" w:themeColor="text1"/>
                <w:sz w:val="30"/>
                <w:szCs w:val="30"/>
              </w:rPr>
            </w:pPr>
            <w:r w:rsidRPr="031C2A76" w:rsidR="6E40437F">
              <w:rPr>
                <w:rFonts w:ascii="Times New Roman" w:hAnsi="Times New Roman" w:eastAsia="Times New Roman" w:cs="Times New Roman"/>
                <w:color w:val="000000" w:themeColor="text1" w:themeTint="FF" w:themeShade="FF"/>
                <w:sz w:val="30"/>
                <w:szCs w:val="30"/>
              </w:rPr>
              <w:t xml:space="preserve">I plan to develop a comprehensive </w:t>
            </w:r>
            <w:r w:rsidRPr="031C2A76" w:rsidR="6E40437F">
              <w:rPr>
                <w:rFonts w:ascii="Times New Roman" w:hAnsi="Times New Roman" w:eastAsia="Times New Roman" w:cs="Times New Roman"/>
                <w:color w:val="000000" w:themeColor="text1" w:themeTint="FF" w:themeShade="FF"/>
                <w:sz w:val="30"/>
                <w:szCs w:val="30"/>
              </w:rPr>
              <w:t>mini-lesson</w:t>
            </w:r>
            <w:r w:rsidRPr="031C2A76" w:rsidR="6E40437F">
              <w:rPr>
                <w:rFonts w:ascii="Times New Roman" w:hAnsi="Times New Roman" w:eastAsia="Times New Roman" w:cs="Times New Roman"/>
                <w:color w:val="000000" w:themeColor="text1" w:themeTint="FF" w:themeShade="FF"/>
                <w:sz w:val="30"/>
                <w:szCs w:val="30"/>
              </w:rPr>
              <w:t xml:space="preserve"> on the recreation sector. This pool of students tested have not</w:t>
            </w:r>
            <w:r w:rsidRPr="031C2A76" w:rsidR="561E264A">
              <w:rPr>
                <w:rFonts w:ascii="Times New Roman" w:hAnsi="Times New Roman" w:eastAsia="Times New Roman" w:cs="Times New Roman"/>
                <w:color w:val="000000" w:themeColor="text1" w:themeTint="FF" w:themeShade="FF"/>
                <w:sz w:val="30"/>
                <w:szCs w:val="30"/>
              </w:rPr>
              <w:t xml:space="preserve"> yet taken the required Rec101 course so the </w:t>
            </w:r>
            <w:r w:rsidRPr="031C2A76" w:rsidR="561E264A">
              <w:rPr>
                <w:rFonts w:ascii="Times New Roman" w:hAnsi="Times New Roman" w:eastAsia="Times New Roman" w:cs="Times New Roman"/>
                <w:color w:val="000000" w:themeColor="text1" w:themeTint="FF" w:themeShade="FF"/>
                <w:sz w:val="30"/>
                <w:szCs w:val="30"/>
              </w:rPr>
              <w:t>underst</w:t>
            </w:r>
            <w:r w:rsidRPr="031C2A76" w:rsidR="561E264A">
              <w:rPr>
                <w:rFonts w:ascii="Times New Roman" w:hAnsi="Times New Roman" w:eastAsia="Times New Roman" w:cs="Times New Roman"/>
                <w:color w:val="000000" w:themeColor="text1" w:themeTint="FF" w:themeShade="FF"/>
                <w:sz w:val="30"/>
                <w:szCs w:val="30"/>
              </w:rPr>
              <w:t xml:space="preserve">anding in this </w:t>
            </w:r>
            <w:r w:rsidRPr="031C2A76" w:rsidR="561E264A">
              <w:rPr>
                <w:rFonts w:ascii="Times New Roman" w:hAnsi="Times New Roman" w:eastAsia="Times New Roman" w:cs="Times New Roman"/>
                <w:color w:val="000000" w:themeColor="text1" w:themeTint="FF" w:themeShade="FF"/>
                <w:sz w:val="30"/>
                <w:szCs w:val="30"/>
              </w:rPr>
              <w:t>competency</w:t>
            </w:r>
            <w:r w:rsidRPr="031C2A76" w:rsidR="561E264A">
              <w:rPr>
                <w:rFonts w:ascii="Times New Roman" w:hAnsi="Times New Roman" w:eastAsia="Times New Roman" w:cs="Times New Roman"/>
                <w:color w:val="000000" w:themeColor="text1" w:themeTint="FF" w:themeShade="FF"/>
                <w:sz w:val="30"/>
                <w:szCs w:val="30"/>
              </w:rPr>
              <w:t xml:space="preserve"> for students I limited. </w:t>
            </w:r>
          </w:p>
          <w:p w:rsidR="031C2A76" w:rsidP="031C2A76" w:rsidRDefault="031C2A76" w14:paraId="0778CA12" w14:textId="1DE77530">
            <w:pPr>
              <w:pStyle w:val="Normal"/>
              <w:rPr>
                <w:rFonts w:ascii="Times New Roman" w:hAnsi="Times New Roman" w:eastAsia="Times New Roman" w:cs="Times New Roman"/>
                <w:color w:val="000000" w:themeColor="text1" w:themeTint="FF" w:themeShade="FF"/>
                <w:sz w:val="30"/>
                <w:szCs w:val="30"/>
              </w:rPr>
            </w:pPr>
          </w:p>
          <w:p w:rsidR="561E264A" w:rsidP="031C2A76" w:rsidRDefault="561E264A" w14:paraId="1C5512A2" w14:textId="08486861">
            <w:pPr>
              <w:pStyle w:val="Normal"/>
              <w:rPr>
                <w:rFonts w:ascii="Times New Roman" w:hAnsi="Times New Roman" w:eastAsia="Times New Roman" w:cs="Times New Roman"/>
                <w:color w:val="000000" w:themeColor="text1" w:themeTint="FF" w:themeShade="FF"/>
                <w:sz w:val="30"/>
                <w:szCs w:val="30"/>
              </w:rPr>
            </w:pPr>
            <w:r w:rsidRPr="031C2A76" w:rsidR="561E264A">
              <w:rPr>
                <w:rFonts w:ascii="Times New Roman" w:hAnsi="Times New Roman" w:eastAsia="Times New Roman" w:cs="Times New Roman"/>
                <w:color w:val="000000" w:themeColor="text1" w:themeTint="FF" w:themeShade="FF"/>
                <w:sz w:val="30"/>
                <w:szCs w:val="30"/>
              </w:rPr>
              <w:t>I plan to sit on the test committee board that helps write the test and give feedback on improving the instrument to assess the students</w:t>
            </w:r>
            <w:r w:rsidRPr="031C2A76" w:rsidR="561E264A">
              <w:rPr>
                <w:rFonts w:ascii="Times New Roman" w:hAnsi="Times New Roman" w:eastAsia="Times New Roman" w:cs="Times New Roman"/>
                <w:color w:val="000000" w:themeColor="text1" w:themeTint="FF" w:themeShade="FF"/>
                <w:sz w:val="30"/>
                <w:szCs w:val="30"/>
              </w:rPr>
              <w:t xml:space="preserve">.  </w:t>
            </w:r>
            <w:r w:rsidRPr="031C2A76" w:rsidR="561E264A">
              <w:rPr>
                <w:rFonts w:ascii="Times New Roman" w:hAnsi="Times New Roman" w:eastAsia="Times New Roman" w:cs="Times New Roman"/>
                <w:color w:val="000000" w:themeColor="text1" w:themeTint="FF" w:themeShade="FF"/>
                <w:sz w:val="30"/>
                <w:szCs w:val="30"/>
              </w:rPr>
              <w:t xml:space="preserve">This </w:t>
            </w:r>
            <w:r w:rsidRPr="031C2A76" w:rsidR="06C50F1F">
              <w:rPr>
                <w:rFonts w:ascii="Times New Roman" w:hAnsi="Times New Roman" w:eastAsia="Times New Roman" w:cs="Times New Roman"/>
                <w:color w:val="000000" w:themeColor="text1" w:themeTint="FF" w:themeShade="FF"/>
                <w:sz w:val="30"/>
                <w:szCs w:val="30"/>
              </w:rPr>
              <w:t>committee</w:t>
            </w:r>
            <w:r w:rsidRPr="031C2A76" w:rsidR="561E264A">
              <w:rPr>
                <w:rFonts w:ascii="Times New Roman" w:hAnsi="Times New Roman" w:eastAsia="Times New Roman" w:cs="Times New Roman"/>
                <w:color w:val="000000" w:themeColor="text1" w:themeTint="FF" w:themeShade="FF"/>
                <w:sz w:val="30"/>
                <w:szCs w:val="30"/>
              </w:rPr>
              <w:t xml:space="preserve"> meets in Fall of 2022. </w:t>
            </w:r>
          </w:p>
          <w:p w:rsidR="031C2A76" w:rsidP="031C2A76" w:rsidRDefault="031C2A76" w14:paraId="507C8F29" w14:textId="10A85EAA">
            <w:pPr>
              <w:pStyle w:val="Normal"/>
              <w:rPr>
                <w:rFonts w:ascii="Times New Roman" w:hAnsi="Times New Roman" w:eastAsia="Times New Roman" w:cs="Times New Roman"/>
                <w:color w:val="000000" w:themeColor="text1" w:themeTint="FF" w:themeShade="FF"/>
                <w:sz w:val="30"/>
                <w:szCs w:val="30"/>
              </w:rPr>
            </w:pPr>
          </w:p>
          <w:p w:rsidR="561E264A" w:rsidP="031C2A76" w:rsidRDefault="561E264A" w14:paraId="7D27E592" w14:textId="7D850271">
            <w:pPr>
              <w:pStyle w:val="Normal"/>
              <w:rPr>
                <w:rFonts w:ascii="Times New Roman" w:hAnsi="Times New Roman" w:eastAsia="Times New Roman" w:cs="Times New Roman"/>
                <w:color w:val="000000" w:themeColor="text1" w:themeTint="FF" w:themeShade="FF"/>
                <w:sz w:val="30"/>
                <w:szCs w:val="30"/>
              </w:rPr>
            </w:pPr>
            <w:r w:rsidRPr="031C2A76" w:rsidR="561E264A">
              <w:rPr>
                <w:rFonts w:ascii="Times New Roman" w:hAnsi="Times New Roman" w:eastAsia="Times New Roman" w:cs="Times New Roman"/>
                <w:color w:val="000000" w:themeColor="text1" w:themeTint="FF" w:themeShade="FF"/>
                <w:sz w:val="30"/>
                <w:szCs w:val="30"/>
              </w:rPr>
              <w:t xml:space="preserve">I also plan to sit on the board for creating and adopting updated learning standards. </w:t>
            </w: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68357E3A">
            <w:pPr>
              <w:rPr>
                <w:rFonts w:ascii="Times New Roman" w:hAnsi="Times New Roman" w:eastAsia="Times New Roman" w:cs="Times New Roman"/>
                <w:color w:val="000000" w:themeColor="text1"/>
                <w:sz w:val="30"/>
                <w:szCs w:val="30"/>
              </w:rPr>
            </w:pPr>
            <w:r w:rsidRPr="5266FB34" w:rsidR="0BBEDE8B">
              <w:rPr>
                <w:rFonts w:ascii="Times New Roman" w:hAnsi="Times New Roman" w:eastAsia="Times New Roman" w:cs="Times New Roman"/>
                <w:color w:val="000000" w:themeColor="text1" w:themeTint="FF" w:themeShade="FF"/>
                <w:sz w:val="30"/>
                <w:szCs w:val="30"/>
              </w:rPr>
              <w:t>Additional</w:t>
            </w:r>
            <w:r w:rsidRPr="5266FB34" w:rsidR="0BBEDE8B">
              <w:rPr>
                <w:rFonts w:ascii="Times New Roman" w:hAnsi="Times New Roman" w:eastAsia="Times New Roman" w:cs="Times New Roman"/>
                <w:color w:val="000000" w:themeColor="text1" w:themeTint="FF" w:themeShade="FF"/>
                <w:sz w:val="30"/>
                <w:szCs w:val="30"/>
              </w:rPr>
              <w:t xml:space="preserve"> information: </w:t>
            </w:r>
          </w:p>
          <w:p w:rsidR="000BC967" w:rsidP="5266FB34" w:rsidRDefault="000BC967" w14:paraId="4A8DAD8A" w14:textId="2E5F3795">
            <w:pPr>
              <w:pStyle w:val="Normal"/>
              <w:rPr>
                <w:rFonts w:ascii="Times New Roman" w:hAnsi="Times New Roman" w:eastAsia="Times New Roman" w:cs="Times New Roman"/>
                <w:color w:val="000000" w:themeColor="text1" w:themeTint="FF" w:themeShade="FF"/>
                <w:sz w:val="30"/>
                <w:szCs w:val="30"/>
              </w:rPr>
            </w:pPr>
            <w:r w:rsidRPr="5266FB34" w:rsidR="0BBEDE8B">
              <w:rPr>
                <w:rFonts w:ascii="Times New Roman" w:hAnsi="Times New Roman" w:eastAsia="Times New Roman" w:cs="Times New Roman"/>
                <w:color w:val="000000" w:themeColor="text1" w:themeTint="FF" w:themeShade="FF"/>
                <w:sz w:val="30"/>
                <w:szCs w:val="30"/>
              </w:rPr>
              <w:t>Students taking the State test first complete the following Course National Industry Exams</w:t>
            </w:r>
            <w:r w:rsidRPr="5266FB34" w:rsidR="0BBEDE8B">
              <w:rPr>
                <w:rFonts w:ascii="Times New Roman" w:hAnsi="Times New Roman" w:eastAsia="Times New Roman" w:cs="Times New Roman"/>
                <w:color w:val="000000" w:themeColor="text1" w:themeTint="FF" w:themeShade="FF"/>
                <w:sz w:val="30"/>
                <w:szCs w:val="30"/>
              </w:rPr>
              <w:t xml:space="preserve">.  </w:t>
            </w:r>
            <w:r w:rsidRPr="5266FB34" w:rsidR="0BBEDE8B">
              <w:rPr>
                <w:rFonts w:ascii="Times New Roman" w:hAnsi="Times New Roman" w:eastAsia="Times New Roman" w:cs="Times New Roman"/>
                <w:color w:val="000000" w:themeColor="text1" w:themeTint="FF" w:themeShade="FF"/>
                <w:sz w:val="30"/>
                <w:szCs w:val="30"/>
              </w:rPr>
              <w:t xml:space="preserve">These exams are built by the American Hotel &amp; Lodging Association </w:t>
            </w:r>
            <w:r w:rsidRPr="5266FB34" w:rsidR="68D81D4A">
              <w:rPr>
                <w:rFonts w:ascii="Times New Roman" w:hAnsi="Times New Roman" w:eastAsia="Times New Roman" w:cs="Times New Roman"/>
                <w:color w:val="000000" w:themeColor="text1" w:themeTint="FF" w:themeShade="FF"/>
                <w:sz w:val="30"/>
                <w:szCs w:val="30"/>
              </w:rPr>
              <w:t>and are tied to a National Industry Certification</w:t>
            </w:r>
            <w:r w:rsidRPr="5266FB34" w:rsidR="68D81D4A">
              <w:rPr>
                <w:rFonts w:ascii="Times New Roman" w:hAnsi="Times New Roman" w:eastAsia="Times New Roman" w:cs="Times New Roman"/>
                <w:color w:val="000000" w:themeColor="text1" w:themeTint="FF" w:themeShade="FF"/>
                <w:sz w:val="30"/>
                <w:szCs w:val="30"/>
              </w:rPr>
              <w:t xml:space="preserve">.  </w:t>
            </w:r>
            <w:r w:rsidRPr="5266FB34" w:rsidR="68D81D4A">
              <w:rPr>
                <w:rFonts w:ascii="Times New Roman" w:hAnsi="Times New Roman" w:eastAsia="Times New Roman" w:cs="Times New Roman"/>
                <w:color w:val="000000" w:themeColor="text1" w:themeTint="FF" w:themeShade="FF"/>
                <w:sz w:val="30"/>
                <w:szCs w:val="30"/>
              </w:rPr>
              <w:t>They are a good predictor of student performance for the State Exam.</w:t>
            </w:r>
          </w:p>
          <w:p w:rsidR="000BC967" w:rsidP="5266FB34" w:rsidRDefault="000BC967" w14:paraId="52463149" w14:textId="7EE82E9C">
            <w:pPr>
              <w:pStyle w:val="Normal"/>
              <w:rPr>
                <w:rFonts w:ascii="Times New Roman" w:hAnsi="Times New Roman" w:eastAsia="Times New Roman" w:cs="Times New Roman"/>
                <w:color w:val="000000" w:themeColor="text1" w:themeTint="FF" w:themeShade="FF"/>
                <w:sz w:val="30"/>
                <w:szCs w:val="30"/>
              </w:rPr>
            </w:pPr>
          </w:p>
          <w:p w:rsidR="000BC967" w:rsidP="5266FB34" w:rsidRDefault="000BC967" w14:paraId="63ABA021" w14:textId="670991F4">
            <w:pPr>
              <w:pStyle w:val="Normal"/>
              <w:rPr>
                <w:rFonts w:ascii="Times New Roman" w:hAnsi="Times New Roman" w:eastAsia="Times New Roman" w:cs="Times New Roman"/>
                <w:color w:val="000000" w:themeColor="text1" w:themeTint="FF" w:themeShade="FF"/>
                <w:sz w:val="30"/>
                <w:szCs w:val="30"/>
              </w:rPr>
            </w:pPr>
            <w:r w:rsidRPr="5266FB34" w:rsidR="68D81D4A">
              <w:rPr>
                <w:rFonts w:ascii="Times New Roman" w:hAnsi="Times New Roman" w:eastAsia="Times New Roman" w:cs="Times New Roman"/>
                <w:b w:val="1"/>
                <w:bCs w:val="1"/>
                <w:color w:val="000000" w:themeColor="text1" w:themeTint="FF" w:themeShade="FF"/>
                <w:sz w:val="30"/>
                <w:szCs w:val="30"/>
              </w:rPr>
              <w:t>HRM100 Fall 2021:</w:t>
            </w:r>
            <w:r w:rsidRPr="5266FB34" w:rsidR="456BC464">
              <w:rPr>
                <w:rFonts w:ascii="Times New Roman" w:hAnsi="Times New Roman" w:eastAsia="Times New Roman" w:cs="Times New Roman"/>
                <w:color w:val="000000" w:themeColor="text1" w:themeTint="FF" w:themeShade="FF"/>
                <w:sz w:val="30"/>
                <w:szCs w:val="30"/>
              </w:rPr>
              <w:t xml:space="preserve"> Student Certification Attainment </w:t>
            </w:r>
            <w:r w:rsidRPr="5266FB34" w:rsidR="6CF3C25D">
              <w:rPr>
                <w:rFonts w:ascii="Times New Roman" w:hAnsi="Times New Roman" w:eastAsia="Times New Roman" w:cs="Times New Roman"/>
                <w:color w:val="000000" w:themeColor="text1" w:themeTint="FF" w:themeShade="FF"/>
                <w:sz w:val="30"/>
                <w:szCs w:val="30"/>
              </w:rPr>
              <w:t>15 of 27 students passed with a 70% or higher. 6 of the 27 students did not take the test.</w:t>
            </w:r>
          </w:p>
          <w:p w:rsidR="000BC967" w:rsidP="5266FB34" w:rsidRDefault="000BC967" w14:paraId="1845A34C" w14:textId="2F8E1728">
            <w:pPr>
              <w:pStyle w:val="Normal"/>
            </w:pPr>
            <w:r w:rsidR="252E0F14">
              <w:drawing>
                <wp:inline wp14:editId="79907FEA" wp14:anchorId="68786511">
                  <wp:extent cx="4572000" cy="4191000"/>
                  <wp:effectExtent l="0" t="0" r="0" b="0"/>
                  <wp:docPr id="1651482802" name="" title=""/>
                  <wp:cNvGraphicFramePr>
                    <a:graphicFrameLocks noChangeAspect="1"/>
                  </wp:cNvGraphicFramePr>
                  <a:graphic>
                    <a:graphicData uri="http://schemas.openxmlformats.org/drawingml/2006/picture">
                      <pic:pic>
                        <pic:nvPicPr>
                          <pic:cNvPr id="0" name=""/>
                          <pic:cNvPicPr/>
                        </pic:nvPicPr>
                        <pic:blipFill>
                          <a:blip r:embed="R282360092b984526">
                            <a:extLst>
                              <a:ext xmlns:a="http://schemas.openxmlformats.org/drawingml/2006/main" uri="{28A0092B-C50C-407E-A947-70E740481C1C}">
                                <a14:useLocalDpi val="0"/>
                              </a:ext>
                            </a:extLst>
                          </a:blip>
                          <a:stretch>
                            <a:fillRect/>
                          </a:stretch>
                        </pic:blipFill>
                        <pic:spPr>
                          <a:xfrm>
                            <a:off x="0" y="0"/>
                            <a:ext cx="4572000" cy="4191000"/>
                          </a:xfrm>
                          <a:prstGeom prst="rect">
                            <a:avLst/>
                          </a:prstGeom>
                        </pic:spPr>
                      </pic:pic>
                    </a:graphicData>
                  </a:graphic>
                </wp:inline>
              </w:drawing>
            </w:r>
          </w:p>
          <w:p w:rsidR="000BC967" w:rsidP="5266FB34" w:rsidRDefault="000BC967" w14:paraId="6B4E9072" w14:textId="1A63D379">
            <w:pPr>
              <w:pStyle w:val="Normal"/>
              <w:rPr>
                <w:rFonts w:ascii="Times New Roman" w:hAnsi="Times New Roman" w:eastAsia="Times New Roman" w:cs="Times New Roman"/>
                <w:color w:val="000000" w:themeColor="text1" w:themeTint="FF" w:themeShade="FF"/>
                <w:sz w:val="30"/>
                <w:szCs w:val="30"/>
              </w:rPr>
            </w:pPr>
          </w:p>
          <w:p w:rsidR="000BC967" w:rsidP="5266FB34" w:rsidRDefault="000BC967" w14:paraId="1D1038DB" w14:textId="03B19272">
            <w:pPr>
              <w:pStyle w:val="Normal"/>
              <w:rPr>
                <w:rFonts w:ascii="Times New Roman" w:hAnsi="Times New Roman" w:eastAsia="Times New Roman" w:cs="Times New Roman"/>
                <w:color w:val="000000" w:themeColor="text1" w:themeTint="FF" w:themeShade="FF"/>
                <w:sz w:val="30"/>
                <w:szCs w:val="30"/>
              </w:rPr>
            </w:pPr>
            <w:r w:rsidRPr="5266FB34" w:rsidR="456BC464">
              <w:rPr>
                <w:rFonts w:ascii="Times New Roman" w:hAnsi="Times New Roman" w:eastAsia="Times New Roman" w:cs="Times New Roman"/>
                <w:b w:val="1"/>
                <w:bCs w:val="1"/>
                <w:color w:val="000000" w:themeColor="text1" w:themeTint="FF" w:themeShade="FF"/>
                <w:sz w:val="30"/>
                <w:szCs w:val="30"/>
              </w:rPr>
              <w:t>HRM102 Fall 2021</w:t>
            </w:r>
            <w:r w:rsidRPr="5266FB34" w:rsidR="456BC464">
              <w:rPr>
                <w:rFonts w:ascii="Times New Roman" w:hAnsi="Times New Roman" w:eastAsia="Times New Roman" w:cs="Times New Roman"/>
                <w:color w:val="000000" w:themeColor="text1" w:themeTint="FF" w:themeShade="FF"/>
                <w:sz w:val="30"/>
                <w:szCs w:val="30"/>
              </w:rPr>
              <w:t>:</w:t>
            </w:r>
            <w:r w:rsidRPr="5266FB34" w:rsidR="7926FD74">
              <w:rPr>
                <w:rFonts w:ascii="Times New Roman" w:hAnsi="Times New Roman" w:eastAsia="Times New Roman" w:cs="Times New Roman"/>
                <w:color w:val="000000" w:themeColor="text1" w:themeTint="FF" w:themeShade="FF"/>
                <w:sz w:val="30"/>
                <w:szCs w:val="30"/>
              </w:rPr>
              <w:t xml:space="preserve"> Student Certification Attainment 18 of 2</w:t>
            </w:r>
            <w:r w:rsidRPr="5266FB34" w:rsidR="4414DD4C">
              <w:rPr>
                <w:rFonts w:ascii="Times New Roman" w:hAnsi="Times New Roman" w:eastAsia="Times New Roman" w:cs="Times New Roman"/>
                <w:color w:val="000000" w:themeColor="text1" w:themeTint="FF" w:themeShade="FF"/>
                <w:sz w:val="30"/>
                <w:szCs w:val="30"/>
              </w:rPr>
              <w:t>4</w:t>
            </w:r>
            <w:r w:rsidRPr="5266FB34" w:rsidR="7926FD74">
              <w:rPr>
                <w:rFonts w:ascii="Times New Roman" w:hAnsi="Times New Roman" w:eastAsia="Times New Roman" w:cs="Times New Roman"/>
                <w:color w:val="000000" w:themeColor="text1" w:themeTint="FF" w:themeShade="FF"/>
                <w:sz w:val="30"/>
                <w:szCs w:val="30"/>
              </w:rPr>
              <w:t xml:space="preserve"> students passed with a 70% or higher. </w:t>
            </w:r>
            <w:r w:rsidRPr="5266FB34" w:rsidR="6DD0FD9A">
              <w:rPr>
                <w:rFonts w:ascii="Times New Roman" w:hAnsi="Times New Roman" w:eastAsia="Times New Roman" w:cs="Times New Roman"/>
                <w:color w:val="000000" w:themeColor="text1" w:themeTint="FF" w:themeShade="FF"/>
                <w:sz w:val="30"/>
                <w:szCs w:val="30"/>
              </w:rPr>
              <w:t>1</w:t>
            </w:r>
            <w:r w:rsidRPr="5266FB34" w:rsidR="7926FD74">
              <w:rPr>
                <w:rFonts w:ascii="Times New Roman" w:hAnsi="Times New Roman" w:eastAsia="Times New Roman" w:cs="Times New Roman"/>
                <w:color w:val="000000" w:themeColor="text1" w:themeTint="FF" w:themeShade="FF"/>
                <w:sz w:val="30"/>
                <w:szCs w:val="30"/>
              </w:rPr>
              <w:t xml:space="preserve"> of the 2</w:t>
            </w:r>
            <w:r w:rsidRPr="5266FB34" w:rsidR="73C8E369">
              <w:rPr>
                <w:rFonts w:ascii="Times New Roman" w:hAnsi="Times New Roman" w:eastAsia="Times New Roman" w:cs="Times New Roman"/>
                <w:color w:val="000000" w:themeColor="text1" w:themeTint="FF" w:themeShade="FF"/>
                <w:sz w:val="30"/>
                <w:szCs w:val="30"/>
              </w:rPr>
              <w:t>4</w:t>
            </w:r>
            <w:r w:rsidRPr="5266FB34" w:rsidR="7926FD74">
              <w:rPr>
                <w:rFonts w:ascii="Times New Roman" w:hAnsi="Times New Roman" w:eastAsia="Times New Roman" w:cs="Times New Roman"/>
                <w:color w:val="000000" w:themeColor="text1" w:themeTint="FF" w:themeShade="FF"/>
                <w:sz w:val="30"/>
                <w:szCs w:val="30"/>
              </w:rPr>
              <w:t xml:space="preserve"> students did not take the test.</w:t>
            </w:r>
          </w:p>
          <w:p w:rsidR="000BC967" w:rsidP="5266FB34" w:rsidRDefault="000BC967" w14:paraId="507FAC2E" w14:textId="3A31B9CD">
            <w:pPr>
              <w:pStyle w:val="Normal"/>
              <w:rPr>
                <w:rFonts w:ascii="Times New Roman" w:hAnsi="Times New Roman" w:eastAsia="Times New Roman" w:cs="Times New Roman"/>
                <w:color w:val="000000" w:themeColor="text1" w:themeTint="FF" w:themeShade="FF"/>
                <w:sz w:val="30"/>
                <w:szCs w:val="30"/>
              </w:rPr>
            </w:pPr>
          </w:p>
          <w:p w:rsidR="000BC967" w:rsidP="5266FB34" w:rsidRDefault="000BC967" w14:paraId="2E9D1EF2" w14:textId="1247C103">
            <w:pPr>
              <w:pStyle w:val="Normal"/>
            </w:pPr>
            <w:r w:rsidR="7926FD74">
              <w:drawing>
                <wp:inline wp14:editId="1AE30749" wp14:anchorId="0B85ADAC">
                  <wp:extent cx="4572000" cy="4171950"/>
                  <wp:effectExtent l="0" t="0" r="0" b="0"/>
                  <wp:docPr id="1146077764" name="" title=""/>
                  <wp:cNvGraphicFramePr>
                    <a:graphicFrameLocks noChangeAspect="1"/>
                  </wp:cNvGraphicFramePr>
                  <a:graphic>
                    <a:graphicData uri="http://schemas.openxmlformats.org/drawingml/2006/picture">
                      <pic:pic>
                        <pic:nvPicPr>
                          <pic:cNvPr id="0" name=""/>
                          <pic:cNvPicPr/>
                        </pic:nvPicPr>
                        <pic:blipFill>
                          <a:blip r:embed="Ra71f3a1677de428b">
                            <a:extLst>
                              <a:ext xmlns:a="http://schemas.openxmlformats.org/drawingml/2006/main" uri="{28A0092B-C50C-407E-A947-70E740481C1C}">
                                <a14:useLocalDpi val="0"/>
                              </a:ext>
                            </a:extLst>
                          </a:blip>
                          <a:stretch>
                            <a:fillRect/>
                          </a:stretch>
                        </pic:blipFill>
                        <pic:spPr>
                          <a:xfrm>
                            <a:off x="0" y="0"/>
                            <a:ext cx="4572000" cy="4171950"/>
                          </a:xfrm>
                          <a:prstGeom prst="rect">
                            <a:avLst/>
                          </a:prstGeom>
                        </pic:spPr>
                      </pic:pic>
                    </a:graphicData>
                  </a:graphic>
                </wp:inline>
              </w:drawing>
            </w:r>
          </w:p>
          <w:p w:rsidR="000BC967" w:rsidP="5266FB34" w:rsidRDefault="000BC967" w14:paraId="335820A0" w14:textId="1E6E8A9A">
            <w:pPr>
              <w:pStyle w:val="Normal"/>
              <w:rPr>
                <w:rFonts w:ascii="Times New Roman" w:hAnsi="Times New Roman" w:eastAsia="Times New Roman" w:cs="Times New Roman"/>
                <w:color w:val="000000" w:themeColor="text1" w:themeTint="FF" w:themeShade="FF"/>
                <w:sz w:val="30"/>
                <w:szCs w:val="30"/>
              </w:rPr>
            </w:pPr>
            <w:r w:rsidRPr="5266FB34" w:rsidR="456BC464">
              <w:rPr>
                <w:rFonts w:ascii="Times New Roman" w:hAnsi="Times New Roman" w:eastAsia="Times New Roman" w:cs="Times New Roman"/>
                <w:color w:val="000000" w:themeColor="text1" w:themeTint="FF" w:themeShade="FF"/>
                <w:sz w:val="30"/>
                <w:szCs w:val="30"/>
              </w:rPr>
              <w:t>HRM</w:t>
            </w:r>
            <w:r w:rsidRPr="5266FB34" w:rsidR="1084FBC5">
              <w:rPr>
                <w:rFonts w:ascii="Times New Roman" w:hAnsi="Times New Roman" w:eastAsia="Times New Roman" w:cs="Times New Roman"/>
                <w:color w:val="000000" w:themeColor="text1" w:themeTint="FF" w:themeShade="FF"/>
                <w:sz w:val="30"/>
                <w:szCs w:val="30"/>
              </w:rPr>
              <w:t xml:space="preserve">101 Spring 2022: </w:t>
            </w:r>
            <w:r w:rsidRPr="5266FB34" w:rsidR="5326C679">
              <w:rPr>
                <w:rFonts w:ascii="Times New Roman" w:hAnsi="Times New Roman" w:eastAsia="Times New Roman" w:cs="Times New Roman"/>
                <w:color w:val="000000" w:themeColor="text1" w:themeTint="FF" w:themeShade="FF"/>
                <w:sz w:val="30"/>
                <w:szCs w:val="30"/>
              </w:rPr>
              <w:t>Student Certification Attainment 6 of 15 students passed with a 70% or higher. 3 of the 15 students did not take the test.</w:t>
            </w:r>
          </w:p>
          <w:p w:rsidR="000BC967" w:rsidP="5266FB34" w:rsidRDefault="000BC967" w14:paraId="0706C1F2" w14:textId="113E4991">
            <w:pPr>
              <w:pStyle w:val="Normal"/>
            </w:pPr>
            <w:r w:rsidR="4CC24EEF">
              <w:drawing>
                <wp:inline wp14:editId="261D0D23" wp14:anchorId="2903E739">
                  <wp:extent cx="4572000" cy="4171950"/>
                  <wp:effectExtent l="0" t="0" r="0" b="0"/>
                  <wp:docPr id="779644354" name="" title=""/>
                  <wp:cNvGraphicFramePr>
                    <a:graphicFrameLocks noChangeAspect="1"/>
                  </wp:cNvGraphicFramePr>
                  <a:graphic>
                    <a:graphicData uri="http://schemas.openxmlformats.org/drawingml/2006/picture">
                      <pic:pic>
                        <pic:nvPicPr>
                          <pic:cNvPr id="0" name=""/>
                          <pic:cNvPicPr/>
                        </pic:nvPicPr>
                        <pic:blipFill>
                          <a:blip r:embed="R82bf962ad62f480e">
                            <a:extLst>
                              <a:ext xmlns:a="http://schemas.openxmlformats.org/drawingml/2006/main" uri="{28A0092B-C50C-407E-A947-70E740481C1C}">
                                <a14:useLocalDpi val="0"/>
                              </a:ext>
                            </a:extLst>
                          </a:blip>
                          <a:stretch>
                            <a:fillRect/>
                          </a:stretch>
                        </pic:blipFill>
                        <pic:spPr>
                          <a:xfrm>
                            <a:off x="0" y="0"/>
                            <a:ext cx="4572000" cy="4171950"/>
                          </a:xfrm>
                          <a:prstGeom prst="rect">
                            <a:avLst/>
                          </a:prstGeom>
                        </pic:spPr>
                      </pic:pic>
                    </a:graphicData>
                  </a:graphic>
                </wp:inline>
              </w:drawing>
            </w:r>
          </w:p>
          <w:p w:rsidR="000BC967" w:rsidP="5266FB34" w:rsidRDefault="000BC967" w14:paraId="69A7D88F" w14:textId="2BE89296">
            <w:pPr>
              <w:pStyle w:val="Normal"/>
              <w:rPr>
                <w:rFonts w:ascii="Times New Roman" w:hAnsi="Times New Roman" w:eastAsia="Times New Roman" w:cs="Times New Roman"/>
                <w:color w:val="000000" w:themeColor="text1" w:themeTint="FF" w:themeShade="FF"/>
                <w:sz w:val="30"/>
                <w:szCs w:val="30"/>
              </w:rPr>
            </w:pPr>
            <w:r w:rsidRPr="5266FB34" w:rsidR="1084FBC5">
              <w:rPr>
                <w:rFonts w:ascii="Times New Roman" w:hAnsi="Times New Roman" w:eastAsia="Times New Roman" w:cs="Times New Roman"/>
                <w:b w:val="1"/>
                <w:bCs w:val="1"/>
                <w:color w:val="000000" w:themeColor="text1" w:themeTint="FF" w:themeShade="FF"/>
                <w:sz w:val="30"/>
                <w:szCs w:val="30"/>
              </w:rPr>
              <w:t>HRM 252 Spring 2022:</w:t>
            </w:r>
            <w:r w:rsidRPr="5266FB34" w:rsidR="6E62D722">
              <w:rPr>
                <w:rFonts w:ascii="Times New Roman" w:hAnsi="Times New Roman" w:eastAsia="Times New Roman" w:cs="Times New Roman"/>
                <w:color w:val="000000" w:themeColor="text1" w:themeTint="FF" w:themeShade="FF"/>
                <w:sz w:val="30"/>
                <w:szCs w:val="30"/>
              </w:rPr>
              <w:t xml:space="preserve"> Student Certification Attainment 18 of 24 students passed with a 70% or higher. 1 of the 24 students did not take the test.</w:t>
            </w:r>
          </w:p>
          <w:p w:rsidR="000BC967" w:rsidP="5266FB34" w:rsidRDefault="000BC967" w14:paraId="0096BEF9" w14:textId="6AC75514">
            <w:pPr>
              <w:pStyle w:val="Normal"/>
            </w:pPr>
            <w:r w:rsidR="0281A494">
              <w:drawing>
                <wp:inline wp14:editId="1CC80226" wp14:anchorId="760CC53B">
                  <wp:extent cx="4572000" cy="4238625"/>
                  <wp:effectExtent l="0" t="0" r="0" b="0"/>
                  <wp:docPr id="470554816" name="" title=""/>
                  <wp:cNvGraphicFramePr>
                    <a:graphicFrameLocks noChangeAspect="1"/>
                  </wp:cNvGraphicFramePr>
                  <a:graphic>
                    <a:graphicData uri="http://schemas.openxmlformats.org/drawingml/2006/picture">
                      <pic:pic>
                        <pic:nvPicPr>
                          <pic:cNvPr id="0" name=""/>
                          <pic:cNvPicPr/>
                        </pic:nvPicPr>
                        <pic:blipFill>
                          <a:blip r:embed="Re4c6cf0b7131405b">
                            <a:extLst>
                              <a:ext xmlns:a="http://schemas.openxmlformats.org/drawingml/2006/main" uri="{28A0092B-C50C-407E-A947-70E740481C1C}">
                                <a14:useLocalDpi val="0"/>
                              </a:ext>
                            </a:extLst>
                          </a:blip>
                          <a:stretch>
                            <a:fillRect/>
                          </a:stretch>
                        </pic:blipFill>
                        <pic:spPr>
                          <a:xfrm>
                            <a:off x="0" y="0"/>
                            <a:ext cx="4572000" cy="4238625"/>
                          </a:xfrm>
                          <a:prstGeom prst="rect">
                            <a:avLst/>
                          </a:prstGeom>
                        </pic:spPr>
                      </pic:pic>
                    </a:graphicData>
                  </a:graphic>
                </wp:inline>
              </w:drawing>
            </w:r>
          </w:p>
          <w:p w:rsidR="000BC967" w:rsidP="5266FB34" w:rsidRDefault="000BC967" w14:paraId="60EC7C40" w14:textId="34F90E4F">
            <w:pPr>
              <w:pStyle w:val="Normal"/>
              <w:rPr>
                <w:rFonts w:ascii="Times New Roman" w:hAnsi="Times New Roman" w:eastAsia="Times New Roman" w:cs="Times New Roman"/>
                <w:color w:val="000000" w:themeColor="text1" w:themeTint="FF" w:themeShade="FF"/>
                <w:sz w:val="30"/>
                <w:szCs w:val="30"/>
              </w:rPr>
            </w:pPr>
          </w:p>
          <w:p w:rsidR="000BC967" w:rsidP="5266FB34" w:rsidRDefault="000BC967" w14:paraId="5CF1C0EC" w14:textId="193FD5D7">
            <w:pPr>
              <w:pStyle w:val="Normal"/>
              <w:rPr>
                <w:rFonts w:ascii="Times New Roman" w:hAnsi="Times New Roman" w:eastAsia="Times New Roman" w:cs="Times New Roman"/>
                <w:color w:val="000000" w:themeColor="text1" w:themeTint="FF" w:themeShade="FF"/>
                <w:sz w:val="30"/>
                <w:szCs w:val="30"/>
              </w:rPr>
            </w:pPr>
            <w:r w:rsidRPr="5266FB34" w:rsidR="1084FBC5">
              <w:rPr>
                <w:rFonts w:ascii="Times New Roman" w:hAnsi="Times New Roman" w:eastAsia="Times New Roman" w:cs="Times New Roman"/>
                <w:b w:val="1"/>
                <w:bCs w:val="1"/>
                <w:color w:val="000000" w:themeColor="text1" w:themeTint="FF" w:themeShade="FF"/>
                <w:sz w:val="30"/>
                <w:szCs w:val="30"/>
              </w:rPr>
              <w:t xml:space="preserve">HRM103 Spring 2022: </w:t>
            </w:r>
            <w:r w:rsidRPr="5266FB34" w:rsidR="7FB75748">
              <w:rPr>
                <w:rFonts w:ascii="Times New Roman" w:hAnsi="Times New Roman" w:eastAsia="Times New Roman" w:cs="Times New Roman"/>
                <w:color w:val="000000" w:themeColor="text1" w:themeTint="FF" w:themeShade="FF"/>
                <w:sz w:val="30"/>
                <w:szCs w:val="30"/>
              </w:rPr>
              <w:t>Student Certification Attainment 1</w:t>
            </w:r>
            <w:r w:rsidRPr="5266FB34" w:rsidR="04CE230B">
              <w:rPr>
                <w:rFonts w:ascii="Times New Roman" w:hAnsi="Times New Roman" w:eastAsia="Times New Roman" w:cs="Times New Roman"/>
                <w:color w:val="000000" w:themeColor="text1" w:themeTint="FF" w:themeShade="FF"/>
                <w:sz w:val="30"/>
                <w:szCs w:val="30"/>
              </w:rPr>
              <w:t>2</w:t>
            </w:r>
            <w:r w:rsidRPr="5266FB34" w:rsidR="7FB75748">
              <w:rPr>
                <w:rFonts w:ascii="Times New Roman" w:hAnsi="Times New Roman" w:eastAsia="Times New Roman" w:cs="Times New Roman"/>
                <w:color w:val="000000" w:themeColor="text1" w:themeTint="FF" w:themeShade="FF"/>
                <w:sz w:val="30"/>
                <w:szCs w:val="30"/>
              </w:rPr>
              <w:t xml:space="preserve"> of 2</w:t>
            </w:r>
            <w:r w:rsidRPr="5266FB34" w:rsidR="464549B8">
              <w:rPr>
                <w:rFonts w:ascii="Times New Roman" w:hAnsi="Times New Roman" w:eastAsia="Times New Roman" w:cs="Times New Roman"/>
                <w:color w:val="000000" w:themeColor="text1" w:themeTint="FF" w:themeShade="FF"/>
                <w:sz w:val="30"/>
                <w:szCs w:val="30"/>
              </w:rPr>
              <w:t>1</w:t>
            </w:r>
            <w:r w:rsidRPr="5266FB34" w:rsidR="7FB75748">
              <w:rPr>
                <w:rFonts w:ascii="Times New Roman" w:hAnsi="Times New Roman" w:eastAsia="Times New Roman" w:cs="Times New Roman"/>
                <w:color w:val="000000" w:themeColor="text1" w:themeTint="FF" w:themeShade="FF"/>
                <w:sz w:val="30"/>
                <w:szCs w:val="30"/>
              </w:rPr>
              <w:t xml:space="preserve"> students passed with a 70% or higher. </w:t>
            </w:r>
            <w:r w:rsidRPr="5266FB34" w:rsidR="35023A4B">
              <w:rPr>
                <w:rFonts w:ascii="Times New Roman" w:hAnsi="Times New Roman" w:eastAsia="Times New Roman" w:cs="Times New Roman"/>
                <w:color w:val="000000" w:themeColor="text1" w:themeTint="FF" w:themeShade="FF"/>
                <w:sz w:val="30"/>
                <w:szCs w:val="30"/>
              </w:rPr>
              <w:t>5</w:t>
            </w:r>
            <w:r w:rsidRPr="5266FB34" w:rsidR="7FB75748">
              <w:rPr>
                <w:rFonts w:ascii="Times New Roman" w:hAnsi="Times New Roman" w:eastAsia="Times New Roman" w:cs="Times New Roman"/>
                <w:color w:val="000000" w:themeColor="text1" w:themeTint="FF" w:themeShade="FF"/>
                <w:sz w:val="30"/>
                <w:szCs w:val="30"/>
              </w:rPr>
              <w:t xml:space="preserve"> of the 2</w:t>
            </w:r>
            <w:r w:rsidRPr="5266FB34" w:rsidR="0DA3C950">
              <w:rPr>
                <w:rFonts w:ascii="Times New Roman" w:hAnsi="Times New Roman" w:eastAsia="Times New Roman" w:cs="Times New Roman"/>
                <w:color w:val="000000" w:themeColor="text1" w:themeTint="FF" w:themeShade="FF"/>
                <w:sz w:val="30"/>
                <w:szCs w:val="30"/>
              </w:rPr>
              <w:t>1</w:t>
            </w:r>
            <w:r w:rsidRPr="5266FB34" w:rsidR="7FB75748">
              <w:rPr>
                <w:rFonts w:ascii="Times New Roman" w:hAnsi="Times New Roman" w:eastAsia="Times New Roman" w:cs="Times New Roman"/>
                <w:color w:val="000000" w:themeColor="text1" w:themeTint="FF" w:themeShade="FF"/>
                <w:sz w:val="30"/>
                <w:szCs w:val="30"/>
              </w:rPr>
              <w:t xml:space="preserve"> students did not take the test.</w:t>
            </w:r>
          </w:p>
          <w:p w:rsidR="000BC967" w:rsidP="5266FB34" w:rsidRDefault="000BC967" w14:paraId="3FC6A380" w14:textId="2EF2F299">
            <w:pPr>
              <w:pStyle w:val="Normal"/>
            </w:pPr>
            <w:r w:rsidR="2244CD11">
              <w:drawing>
                <wp:inline wp14:editId="291975B6" wp14:anchorId="2775F246">
                  <wp:extent cx="4572000" cy="4267200"/>
                  <wp:effectExtent l="0" t="0" r="0" b="0"/>
                  <wp:docPr id="986827191" name="" title=""/>
                  <wp:cNvGraphicFramePr>
                    <a:graphicFrameLocks noChangeAspect="1"/>
                  </wp:cNvGraphicFramePr>
                  <a:graphic>
                    <a:graphicData uri="http://schemas.openxmlformats.org/drawingml/2006/picture">
                      <pic:pic>
                        <pic:nvPicPr>
                          <pic:cNvPr id="0" name=""/>
                          <pic:cNvPicPr/>
                        </pic:nvPicPr>
                        <pic:blipFill>
                          <a:blip r:embed="Rc201006c9c8b4c51">
                            <a:extLst>
                              <a:ext xmlns:a="http://schemas.openxmlformats.org/drawingml/2006/main" uri="{28A0092B-C50C-407E-A947-70E740481C1C}">
                                <a14:useLocalDpi val="0"/>
                              </a:ext>
                            </a:extLst>
                          </a:blip>
                          <a:stretch>
                            <a:fillRect/>
                          </a:stretch>
                        </pic:blipFill>
                        <pic:spPr>
                          <a:xfrm>
                            <a:off x="0" y="0"/>
                            <a:ext cx="4572000" cy="4267200"/>
                          </a:xfrm>
                          <a:prstGeom prst="rect">
                            <a:avLst/>
                          </a:prstGeom>
                        </pic:spPr>
                      </pic:pic>
                    </a:graphicData>
                  </a:graphic>
                </wp:inline>
              </w:drawing>
            </w:r>
          </w:p>
        </w:tc>
      </w:tr>
      <w:tr w:rsidR="000BC967" w:rsidTr="56C85564"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31C2A76" w:rsidR="29CBAD68">
              <w:rPr>
                <w:rFonts w:ascii="Times New Roman" w:hAnsi="Times New Roman" w:eastAsia="Times New Roman" w:cs="Times New Roman"/>
                <w:b w:val="1"/>
                <w:bCs w:val="1"/>
                <w:i w:val="1"/>
                <w:iCs w:val="1"/>
                <w:color w:val="000000" w:themeColor="text1" w:themeTint="FF" w:themeShade="FF"/>
                <w:sz w:val="24"/>
                <w:szCs w:val="24"/>
              </w:rPr>
              <w:t>Feel free to attach your PLOs OR MSLOs and CSLOs and indicate which were assessed</w:t>
            </w:r>
          </w:p>
          <w:p w:rsidR="000BC967" w:rsidP="031C2A76" w:rsidRDefault="000BC967" w14:paraId="441137F5" w14:textId="685203CC">
            <w:pPr>
              <w:pStyle w:val="Normal"/>
              <w:spacing w:line="259" w:lineRule="auto"/>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7318D813"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7318D813"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7318D813"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shd w:val="clear" w:color="auto" w:fill="B4C6E7" w:themeFill="accent1" w:themeFillTint="66"/>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40FB4509">
            <w:pPr>
              <w:pStyle w:val="Normal"/>
              <w:rPr>
                <w:b w:val="1"/>
                <w:bCs w:val="1"/>
              </w:rPr>
            </w:pPr>
          </w:p>
        </w:tc>
        <w:tc>
          <w:tcPr>
            <w:tcW w:w="3495" w:type="dxa"/>
            <w:tcMar/>
          </w:tcPr>
          <w:p w:rsidR="070D2A87" w:rsidP="070D2A87" w:rsidRDefault="070D2A87" w14:paraId="19701244" w14:textId="7C5225BB">
            <w:pPr>
              <w:pStyle w:val="Normal"/>
              <w:rPr>
                <w:b w:val="1"/>
                <w:bCs w:val="1"/>
              </w:rPr>
            </w:pPr>
          </w:p>
        </w:tc>
      </w:tr>
      <w:tr w:rsidR="070D2A87" w:rsidTr="7318D813"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B4C6E7" w:themeFill="accent1" w:themeFillTint="66"/>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40FB4509">
            <w:pPr>
              <w:pStyle w:val="Normal"/>
              <w:rPr>
                <w:b w:val="1"/>
                <w:bCs w:val="1"/>
              </w:rPr>
            </w:pPr>
          </w:p>
        </w:tc>
        <w:tc>
          <w:tcPr>
            <w:tcW w:w="3495" w:type="dxa"/>
            <w:shd w:val="clear" w:color="auto" w:fill="D9D9D9" w:themeFill="background1" w:themeFillShade="D9"/>
            <w:tcMar/>
          </w:tcPr>
          <w:p w:rsidR="070D2A87" w:rsidP="070D2A87" w:rsidRDefault="070D2A87" w14:paraId="4B802809" w14:textId="7D560EC5">
            <w:pPr>
              <w:pStyle w:val="Normal"/>
              <w:rPr>
                <w:b w:val="1"/>
                <w:bCs w:val="1"/>
              </w:rPr>
            </w:pPr>
          </w:p>
        </w:tc>
      </w:tr>
      <w:tr w:rsidR="070D2A87" w:rsidTr="7318D813"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somewhat articulated criteria for assessment of knowledge, skills, and attitudes (e.g., rubrics, exemplary work).</w:t>
            </w:r>
          </w:p>
        </w:tc>
        <w:tc>
          <w:tcPr>
            <w:tcW w:w="2490" w:type="dxa"/>
            <w:shd w:val="clear" w:color="auto" w:fill="B4C6E7" w:themeFill="accent1" w:themeFillTint="66"/>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7A40F89D">
            <w:pPr>
              <w:pStyle w:val="Normal"/>
              <w:rPr>
                <w:b w:val="1"/>
                <w:bCs w:val="1"/>
              </w:rPr>
            </w:pPr>
          </w:p>
        </w:tc>
        <w:tc>
          <w:tcPr>
            <w:tcW w:w="3495" w:type="dxa"/>
            <w:tcMar/>
          </w:tcPr>
          <w:p w:rsidR="070D2A87" w:rsidP="070D2A87" w:rsidRDefault="070D2A87" w14:paraId="3183FADC" w14:textId="5590CE60">
            <w:pPr>
              <w:pStyle w:val="Normal"/>
              <w:rPr>
                <w:b w:val="1"/>
                <w:bCs w:val="1"/>
              </w:rPr>
            </w:pPr>
          </w:p>
        </w:tc>
      </w:tr>
      <w:tr w:rsidR="070D2A87" w:rsidTr="7318D813"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tcPr>
          <w:p w:rsidR="342FA684" w:rsidP="070D2A87" w:rsidRDefault="342FA684" w14:paraId="4C6202E4" w14:textId="5D73EF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B4C6E7" w:themeFill="accent1" w:themeFillTint="66"/>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0AB1D07">
            <w:pPr>
              <w:pStyle w:val="Normal"/>
              <w:rPr>
                <w:b w:val="1"/>
                <w:bCs w:val="1"/>
              </w:rPr>
            </w:pPr>
          </w:p>
        </w:tc>
        <w:tc>
          <w:tcPr>
            <w:tcW w:w="3495" w:type="dxa"/>
            <w:shd w:val="clear" w:color="auto" w:fill="D9D9D9" w:themeFill="background1" w:themeFillShade="D9"/>
            <w:tcMar/>
          </w:tcPr>
          <w:p w:rsidR="070D2A87" w:rsidP="070D2A87" w:rsidRDefault="070D2A87" w14:paraId="265768F4" w14:textId="5B484A35">
            <w:pPr>
              <w:pStyle w:val="Normal"/>
              <w:rPr>
                <w:b w:val="1"/>
                <w:bCs w:val="1"/>
              </w:rPr>
            </w:pPr>
          </w:p>
        </w:tc>
      </w:tr>
      <w:tr w:rsidR="070D2A87" w:rsidTr="7318D813"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tcPr>
          <w:p w:rsidR="342FA684" w:rsidP="070D2A87" w:rsidRDefault="342FA684" w14:paraId="061D0DA8" w14:textId="10D8B33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shd w:val="clear" w:color="auto" w:fill="B4C6E7" w:themeFill="accent1" w:themeFillTint="66"/>
            <w:tcMar/>
          </w:tcPr>
          <w:p w:rsidR="342FA684" w:rsidP="070D2A87" w:rsidRDefault="342FA684" w14:paraId="146A0C0F" w14:textId="02546E3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tcPr>
          <w:p w:rsidR="070D2A87" w:rsidP="070D2A87" w:rsidRDefault="070D2A87" w14:paraId="11CFEEE2" w14:textId="738C6E38">
            <w:pPr>
              <w:pStyle w:val="Normal"/>
              <w:rPr>
                <w:b w:val="1"/>
                <w:bCs w:val="1"/>
              </w:rPr>
            </w:pPr>
          </w:p>
        </w:tc>
        <w:tc>
          <w:tcPr>
            <w:tcW w:w="3495" w:type="dxa"/>
            <w:tcMar/>
          </w:tcPr>
          <w:p w:rsidR="070D2A87" w:rsidP="070D2A87" w:rsidRDefault="070D2A87" w14:paraId="3DF1DA2E" w14:textId="39EA7644">
            <w:pPr>
              <w:pStyle w:val="Normal"/>
              <w:rPr>
                <w:b w:val="1"/>
                <w:bCs w:val="1"/>
              </w:rPr>
            </w:pPr>
          </w:p>
        </w:tc>
      </w:tr>
      <w:tr w:rsidR="070D2A87" w:rsidTr="7318D813" w14:paraId="48219631">
        <w:trPr>
          <w:trHeight w:val="3165"/>
        </w:trPr>
        <w:tc>
          <w:tcPr>
            <w:tcW w:w="14400" w:type="dxa"/>
            <w:gridSpan w:val="6"/>
            <w:shd w:val="clear" w:color="auto" w:fill="D9D9D9" w:themeFill="background1" w:themeFillShade="D9"/>
            <w:tcMar/>
          </w:tcPr>
          <w:p w:rsidR="070D2A87" w:rsidP="7318D813" w:rsidRDefault="070D2A87" w14:paraId="2D0E9185" w14:textId="22DEABC2">
            <w:pPr>
              <w:pStyle w:val="Normal"/>
              <w:rPr>
                <w:b w:val="1"/>
                <w:bCs w:val="1"/>
              </w:rPr>
            </w:pPr>
            <w:r w:rsidRPr="7318D813" w:rsidR="342FA684">
              <w:rPr>
                <w:b w:val="1"/>
                <w:bCs w:val="1"/>
              </w:rPr>
              <w:t xml:space="preserve">Additional Comments: </w:t>
            </w:r>
          </w:p>
          <w:p w:rsidR="070D2A87" w:rsidP="7318D813" w:rsidRDefault="070D2A87" w14:paraId="205E19F0" w14:textId="50FF99F1">
            <w:pPr>
              <w:pStyle w:val="Normal"/>
              <w:rPr>
                <w:b w:val="1"/>
                <w:bCs w:val="1"/>
              </w:rPr>
            </w:pPr>
            <w:r w:rsidRPr="7318D813" w:rsidR="5489ED7F">
              <w:rPr>
                <w:b w:val="1"/>
                <w:bCs w:val="1"/>
              </w:rPr>
              <w:t>Excellent use of data to make decisions on how to improve instruction and increase student certificatio</w:t>
            </w:r>
            <w:r w:rsidRPr="7318D813" w:rsidR="191136F3">
              <w:rPr>
                <w:b w:val="1"/>
                <w:bCs w:val="1"/>
              </w:rPr>
              <w:t>n</w:t>
            </w:r>
            <w:r w:rsidRPr="7318D813" w:rsidR="5489ED7F">
              <w:rPr>
                <w:b w:val="1"/>
                <w:bCs w:val="1"/>
              </w:rPr>
              <w:t xml:space="preserve"> scores. </w:t>
            </w:r>
            <w:r w:rsidRPr="7318D813" w:rsidR="5FD1B43F">
              <w:rPr>
                <w:b w:val="1"/>
                <w:bCs w:val="1"/>
              </w:rPr>
              <w:t xml:space="preserve">This is </w:t>
            </w:r>
            <w:r w:rsidRPr="7318D813" w:rsidR="5FD1B43F">
              <w:rPr>
                <w:b w:val="1"/>
                <w:bCs w:val="1"/>
              </w:rPr>
              <w:t>a great example</w:t>
            </w:r>
            <w:r w:rsidRPr="7318D813" w:rsidR="5FD1B43F">
              <w:rPr>
                <w:b w:val="1"/>
                <w:bCs w:val="1"/>
              </w:rPr>
              <w:t xml:space="preserve"> of the Assessment Process. </w:t>
            </w: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4742BD16" w14:paraId="38E6534E">
        <w:trPr>
          <w:trHeight w:val="300"/>
        </w:trPr>
        <w:tc>
          <w:tcPr>
            <w:tcW w:w="14526" w:type="dxa"/>
            <w:shd w:val="clear" w:color="auto" w:fill="FFC000" w:themeFill="accent4"/>
            <w:tcMar/>
          </w:tcPr>
          <w:p w:rsidR="6842DACE" w:rsidP="6754B86D" w:rsidRDefault="6842DACE" w14:paraId="5A66F7DF" w14:textId="4E45A885">
            <w:pPr>
              <w:pStyle w:val="Normal"/>
              <w:jc w:val="center"/>
              <w:rPr>
                <w:rFonts w:ascii="Times New Roman" w:hAnsi="Times New Roman" w:eastAsia="Times New Roman" w:cs="Times New Roman"/>
                <w:b w:val="1"/>
                <w:bCs w:val="1"/>
                <w:color w:val="000000" w:themeColor="text1" w:themeTint="FF" w:themeShade="FF"/>
                <w:sz w:val="30"/>
                <w:szCs w:val="30"/>
              </w:rPr>
            </w:pPr>
            <w:r w:rsidRPr="031C2A76"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031C2A76" w:rsidR="45FBABFC">
              <w:rPr>
                <w:rFonts w:ascii="Times New Roman" w:hAnsi="Times New Roman" w:eastAsia="Times New Roman" w:cs="Times New Roman"/>
                <w:b w:val="1"/>
                <w:bCs w:val="1"/>
                <w:color w:val="000000" w:themeColor="text1" w:themeTint="FF" w:themeShade="FF"/>
                <w:sz w:val="30"/>
                <w:szCs w:val="30"/>
              </w:rPr>
              <w:t xml:space="preserve"> </w:t>
            </w:r>
            <w:r w:rsidRPr="031C2A76" w:rsidR="2A157F05">
              <w:rPr>
                <w:rFonts w:ascii="Times New Roman" w:hAnsi="Times New Roman" w:eastAsia="Times New Roman" w:cs="Times New Roman"/>
                <w:b w:val="1"/>
                <w:bCs w:val="1"/>
                <w:color w:val="000000" w:themeColor="text1" w:themeTint="FF" w:themeShade="FF"/>
                <w:sz w:val="30"/>
                <w:szCs w:val="30"/>
              </w:rPr>
              <w:t xml:space="preserve">May </w:t>
            </w:r>
            <w:r w:rsidRPr="031C2A76" w:rsidR="7A155FCD">
              <w:rPr>
                <w:rFonts w:ascii="Times New Roman" w:hAnsi="Times New Roman" w:eastAsia="Times New Roman" w:cs="Times New Roman"/>
                <w:b w:val="1"/>
                <w:bCs w:val="1"/>
                <w:color w:val="000000" w:themeColor="text1" w:themeTint="FF" w:themeShade="FF"/>
                <w:sz w:val="30"/>
                <w:szCs w:val="30"/>
              </w:rPr>
              <w:t>18</w:t>
            </w:r>
            <w:r w:rsidRPr="031C2A76" w:rsidR="2A157F05">
              <w:rPr>
                <w:rFonts w:ascii="Times New Roman" w:hAnsi="Times New Roman" w:eastAsia="Times New Roman" w:cs="Times New Roman"/>
                <w:b w:val="1"/>
                <w:bCs w:val="1"/>
                <w:color w:val="000000" w:themeColor="text1" w:themeTint="FF" w:themeShade="FF"/>
                <w:sz w:val="30"/>
                <w:szCs w:val="30"/>
              </w:rPr>
              <w:t>, 202</w:t>
            </w:r>
            <w:r w:rsidRPr="031C2A76" w:rsidR="6D16C92A">
              <w:rPr>
                <w:rFonts w:ascii="Times New Roman" w:hAnsi="Times New Roman" w:eastAsia="Times New Roman" w:cs="Times New Roman"/>
                <w:b w:val="1"/>
                <w:bCs w:val="1"/>
                <w:color w:val="000000" w:themeColor="text1" w:themeTint="FF" w:themeShade="FF"/>
                <w:sz w:val="30"/>
                <w:szCs w:val="30"/>
              </w:rPr>
              <w:t>3</w:t>
            </w:r>
          </w:p>
        </w:tc>
      </w:tr>
      <w:tr w:rsidR="6842DACE" w:rsidTr="4742BD16"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5266FB34" w:rsidR="00758817">
              <w:rPr>
                <w:rFonts w:ascii="Calibri" w:hAnsi="Calibri" w:eastAsia="Calibri" w:cs="Calibri"/>
                <w:b w:val="1"/>
                <w:bCs w:val="1"/>
                <w:color w:val="000000" w:themeColor="text1" w:themeTint="FF" w:themeShade="FF"/>
                <w:sz w:val="24"/>
                <w:szCs w:val="24"/>
              </w:rPr>
              <w:t>1. Program name or course name and number</w:t>
            </w:r>
            <w:r w:rsidRPr="5266FB34" w:rsidR="00758817">
              <w:rPr>
                <w:rFonts w:ascii="Calibri" w:hAnsi="Calibri" w:eastAsia="Calibri" w:cs="Calibri"/>
                <w:color w:val="000000" w:themeColor="text1" w:themeTint="FF" w:themeShade="FF"/>
                <w:sz w:val="24"/>
                <w:szCs w:val="24"/>
              </w:rPr>
              <w:t>:</w:t>
            </w:r>
            <w:r w:rsidRPr="5266FB34" w:rsidR="08148FC2">
              <w:rPr>
                <w:rFonts w:ascii="Calibri" w:hAnsi="Calibri" w:eastAsia="Calibri" w:cs="Calibri"/>
                <w:color w:val="000000" w:themeColor="text1" w:themeTint="FF" w:themeShade="FF"/>
                <w:sz w:val="24"/>
                <w:szCs w:val="24"/>
              </w:rPr>
              <w:t xml:space="preserve"> </w:t>
            </w:r>
          </w:p>
          <w:p w:rsidR="6754B86D" w:rsidP="5266FB34" w:rsidRDefault="6754B86D" w14:paraId="52F06CA5" w14:textId="35AD04E7">
            <w:pPr>
              <w:spacing w:line="259" w:lineRule="auto"/>
              <w:rPr>
                <w:rFonts w:ascii="Calibri" w:hAnsi="Calibri" w:eastAsia="Calibri" w:cs="Calibri"/>
                <w:color w:val="000000" w:themeColor="text1" w:themeTint="FF" w:themeShade="FF"/>
                <w:sz w:val="24"/>
                <w:szCs w:val="24"/>
              </w:rPr>
            </w:pPr>
            <w:r w:rsidRPr="5266FB34" w:rsidR="6808DDA7">
              <w:rPr>
                <w:rFonts w:ascii="Calibri" w:hAnsi="Calibri" w:eastAsia="Calibri" w:cs="Calibri"/>
                <w:color w:val="000000" w:themeColor="text1" w:themeTint="FF" w:themeShade="FF"/>
                <w:sz w:val="24"/>
                <w:szCs w:val="24"/>
              </w:rPr>
              <w:t>Hotel &amp; Restaurant Management Certificate Completers</w:t>
            </w:r>
          </w:p>
        </w:tc>
      </w:tr>
      <w:tr w:rsidR="6754B86D" w:rsidTr="4742BD16"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2. Division in which the program or course is located</w:t>
            </w:r>
            <w:r w:rsidRPr="6754B86D" w:rsidR="5BBC5178">
              <w:rPr>
                <w:rFonts w:ascii="Calibri" w:hAnsi="Calibri" w:eastAsia="Calibri" w:cs="Calibri"/>
                <w:color w:val="000000" w:themeColor="text1" w:themeTint="FF" w:themeShade="FF"/>
                <w:sz w:val="24"/>
                <w:szCs w:val="24"/>
              </w:rPr>
              <w:t>:</w:t>
            </w:r>
          </w:p>
          <w:p w:rsidR="6754B86D" w:rsidP="6754B86D" w:rsidRDefault="6754B86D" w14:paraId="5BAD7D01" w14:textId="382BCC36">
            <w:pPr>
              <w:spacing w:line="259" w:lineRule="auto"/>
              <w:rPr>
                <w:rFonts w:ascii="Calibri" w:hAnsi="Calibri" w:eastAsia="Calibri" w:cs="Calibri"/>
                <w:color w:val="000000" w:themeColor="text1" w:themeTint="FF" w:themeShade="FF"/>
                <w:sz w:val="24"/>
                <w:szCs w:val="24"/>
              </w:rPr>
            </w:pPr>
            <w:r w:rsidRPr="031C2A76" w:rsidR="06AA9AF6">
              <w:rPr>
                <w:rFonts w:ascii="Calibri" w:hAnsi="Calibri" w:eastAsia="Calibri" w:cs="Calibri"/>
                <w:color w:val="000000" w:themeColor="text1" w:themeTint="FF" w:themeShade="FF"/>
                <w:sz w:val="24"/>
                <w:szCs w:val="24"/>
              </w:rPr>
              <w:t>Business Division</w:t>
            </w:r>
          </w:p>
        </w:tc>
      </w:tr>
      <w:tr w:rsidR="7933FE0A" w:rsidTr="4742BD16"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0667C920">
            <w:pPr>
              <w:pStyle w:val="Normal"/>
              <w:spacing w:line="259" w:lineRule="auto"/>
              <w:rPr>
                <w:rFonts w:ascii="Calibri" w:hAnsi="Calibri" w:eastAsia="Calibri" w:cs="Calibri"/>
                <w:b w:val="1"/>
                <w:bCs w:val="1"/>
                <w:color w:val="000000" w:themeColor="text1" w:themeTint="FF" w:themeShade="FF"/>
                <w:sz w:val="24"/>
                <w:szCs w:val="24"/>
              </w:rPr>
            </w:pPr>
            <w:r w:rsidRPr="031C2A76" w:rsidR="67DAC35B">
              <w:rPr>
                <w:rFonts w:ascii="Calibri" w:hAnsi="Calibri" w:eastAsia="Calibri" w:cs="Calibri"/>
                <w:b w:val="1"/>
                <w:bCs w:val="1"/>
                <w:color w:val="000000" w:themeColor="text1" w:themeTint="FF" w:themeShade="FF"/>
                <w:sz w:val="24"/>
                <w:szCs w:val="24"/>
              </w:rPr>
              <w:t>4/14/2023</w:t>
            </w:r>
          </w:p>
        </w:tc>
      </w:tr>
      <w:tr w:rsidR="6842DACE" w:rsidTr="4742BD16" w14:paraId="7773D3F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3. Name of person completing report</w:t>
            </w:r>
            <w:r w:rsidRPr="7933FE0A" w:rsidR="6842DACE">
              <w:rPr>
                <w:rFonts w:ascii="Calibri" w:hAnsi="Calibri" w:eastAsia="Calibri" w:cs="Calibri"/>
                <w:color w:val="000000" w:themeColor="text1" w:themeTint="FF" w:themeShade="FF"/>
                <w:sz w:val="24"/>
                <w:szCs w:val="24"/>
              </w:rPr>
              <w:t>:</w:t>
            </w:r>
          </w:p>
          <w:p w:rsidR="6842DACE" w:rsidP="6842DACE" w:rsidRDefault="6842DACE" w14:paraId="70653FD5" w14:textId="03FEF707">
            <w:pPr>
              <w:spacing w:line="259" w:lineRule="auto"/>
              <w:rPr>
                <w:rFonts w:ascii="Calibri" w:hAnsi="Calibri" w:eastAsia="Calibri" w:cs="Calibri"/>
                <w:color w:val="000000" w:themeColor="text1" w:themeTint="FF" w:themeShade="FF"/>
                <w:sz w:val="24"/>
                <w:szCs w:val="24"/>
              </w:rPr>
            </w:pPr>
            <w:r w:rsidRPr="031C2A76" w:rsidR="53052F57">
              <w:rPr>
                <w:rFonts w:ascii="Calibri" w:hAnsi="Calibri" w:eastAsia="Calibri" w:cs="Calibri"/>
                <w:color w:val="000000" w:themeColor="text1" w:themeTint="FF" w:themeShade="FF"/>
                <w:sz w:val="24"/>
                <w:szCs w:val="24"/>
              </w:rPr>
              <w:t>Amanda Potts</w:t>
            </w:r>
          </w:p>
        </w:tc>
      </w:tr>
      <w:tr w:rsidR="6842DACE" w:rsidTr="4742BD16" w14:paraId="040BDC1B">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4. Semester and year in which the assessment was conducted</w:t>
            </w:r>
            <w:r w:rsidRPr="7933FE0A" w:rsidR="6842DACE">
              <w:rPr>
                <w:rFonts w:ascii="Calibri" w:hAnsi="Calibri" w:eastAsia="Calibri" w:cs="Calibri"/>
                <w:color w:val="000000" w:themeColor="text1" w:themeTint="FF" w:themeShade="FF"/>
                <w:sz w:val="24"/>
                <w:szCs w:val="24"/>
              </w:rPr>
              <w:t>:</w:t>
            </w:r>
          </w:p>
          <w:p w:rsidR="6842DACE" w:rsidP="6842DACE" w:rsidRDefault="6842DACE" w14:paraId="1396B907" w14:textId="47C5EE1A">
            <w:pPr>
              <w:spacing w:line="259" w:lineRule="auto"/>
              <w:rPr>
                <w:rFonts w:ascii="Calibri" w:hAnsi="Calibri" w:eastAsia="Calibri" w:cs="Calibri"/>
                <w:color w:val="000000" w:themeColor="text1" w:themeTint="FF" w:themeShade="FF"/>
                <w:sz w:val="24"/>
                <w:szCs w:val="24"/>
              </w:rPr>
            </w:pPr>
            <w:r w:rsidRPr="031C2A76" w:rsidR="417F1A6F">
              <w:rPr>
                <w:rFonts w:ascii="Calibri" w:hAnsi="Calibri" w:eastAsia="Calibri" w:cs="Calibri"/>
                <w:color w:val="000000" w:themeColor="text1" w:themeTint="FF" w:themeShade="FF"/>
                <w:sz w:val="24"/>
                <w:szCs w:val="24"/>
              </w:rPr>
              <w:t>Spring 2023</w:t>
            </w:r>
          </w:p>
        </w:tc>
      </w:tr>
      <w:tr w:rsidR="6842DACE" w:rsidTr="4742BD16" w14:paraId="5398F6A2">
        <w:trPr>
          <w:trHeight w:val="390"/>
        </w:trPr>
        <w:tc>
          <w:tcPr>
            <w:tcW w:w="14526" w:type="dxa"/>
            <w:tcMar/>
          </w:tcPr>
          <w:p w:rsidR="6842DACE" w:rsidP="6842DACE" w:rsidRDefault="6842DACE" w14:paraId="56917BB4" w14:textId="4CD7A0E8">
            <w:pPr>
              <w:rPr>
                <w:rFonts w:ascii="Calibri" w:hAnsi="Calibri" w:eastAsia="Calibri" w:cs="Calibri"/>
                <w:color w:val="000000" w:themeColor="text1" w:themeTint="FF" w:themeShade="FF"/>
                <w:sz w:val="24"/>
                <w:szCs w:val="24"/>
              </w:rPr>
            </w:pPr>
            <w:r w:rsidRPr="031C2A76" w:rsidR="2251D6FF">
              <w:rPr>
                <w:rFonts w:ascii="Calibri" w:hAnsi="Calibri" w:eastAsia="Calibri" w:cs="Calibri"/>
                <w:b w:val="1"/>
                <w:bCs w:val="1"/>
                <w:color w:val="000000" w:themeColor="text1" w:themeTint="FF" w:themeShade="FF"/>
                <w:sz w:val="24"/>
                <w:szCs w:val="24"/>
              </w:rPr>
              <w:t>5. Number of student participants</w:t>
            </w:r>
            <w:r w:rsidRPr="031C2A76" w:rsidR="2251D6FF">
              <w:rPr>
                <w:rFonts w:ascii="Calibri" w:hAnsi="Calibri" w:eastAsia="Calibri" w:cs="Calibri"/>
                <w:color w:val="000000" w:themeColor="text1" w:themeTint="FF" w:themeShade="FF"/>
                <w:sz w:val="24"/>
                <w:szCs w:val="24"/>
              </w:rPr>
              <w:t>:</w:t>
            </w:r>
          </w:p>
          <w:p w:rsidR="454F8027" w:rsidP="031C2A76" w:rsidRDefault="454F8027" w14:paraId="5E332496" w14:textId="5352D91C">
            <w:pPr>
              <w:pStyle w:val="Normal"/>
            </w:pPr>
            <w:r w:rsidR="454F8027">
              <w:rPr/>
              <w:t>10</w:t>
            </w:r>
          </w:p>
          <w:p w:rsidR="6842DACE" w:rsidP="6842DACE" w:rsidRDefault="6842DACE" w14:paraId="56B1411F" w14:textId="69FE688A">
            <w:pPr>
              <w:rPr>
                <w:rFonts w:ascii="Calibri" w:hAnsi="Calibri" w:eastAsia="Calibri" w:cs="Calibri"/>
                <w:color w:val="000000" w:themeColor="text1" w:themeTint="FF" w:themeShade="FF"/>
                <w:sz w:val="24"/>
                <w:szCs w:val="24"/>
              </w:rPr>
            </w:pPr>
          </w:p>
        </w:tc>
      </w:tr>
      <w:tr w:rsidR="6842DACE" w:rsidTr="4742BD16" w14:paraId="7A0A970E">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6. Number of faculty/staff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376F7C7F" w14:textId="08E8DA5D">
            <w:pPr>
              <w:spacing w:line="259" w:lineRule="auto"/>
              <w:rPr>
                <w:rFonts w:ascii="Calibri" w:hAnsi="Calibri" w:eastAsia="Calibri" w:cs="Calibri"/>
                <w:color w:val="000000" w:themeColor="text1" w:themeTint="FF" w:themeShade="FF"/>
                <w:sz w:val="24"/>
                <w:szCs w:val="24"/>
              </w:rPr>
            </w:pPr>
            <w:r w:rsidRPr="031C2A76" w:rsidR="152427AA">
              <w:rPr>
                <w:rFonts w:ascii="Calibri" w:hAnsi="Calibri" w:eastAsia="Calibri" w:cs="Calibri"/>
                <w:color w:val="000000" w:themeColor="text1" w:themeTint="FF" w:themeShade="FF"/>
                <w:sz w:val="24"/>
                <w:szCs w:val="24"/>
              </w:rPr>
              <w:t>1</w:t>
            </w:r>
          </w:p>
        </w:tc>
      </w:tr>
      <w:tr w:rsidR="6842DACE" w:rsidTr="4742BD16"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031C2A76" w:rsidR="2251D6FF">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6842DACE" w:rsidP="031C2A76" w:rsidRDefault="6842DACE" w14:paraId="6EBADDA3" w14:textId="23A0EA07">
            <w:pPr>
              <w:spacing w:line="257" w:lineRule="auto"/>
            </w:pPr>
            <w:r w:rsidRPr="031C2A76" w:rsidR="353E841A">
              <w:rPr>
                <w:rFonts w:ascii="Calibri" w:hAnsi="Calibri" w:eastAsia="Calibri" w:cs="Calibri"/>
                <w:noProof w:val="0"/>
                <w:sz w:val="22"/>
                <w:szCs w:val="22"/>
                <w:lang w:val="en-US"/>
              </w:rPr>
              <w:t xml:space="preserve">1.0 </w:t>
            </w:r>
            <w:r>
              <w:tab/>
            </w:r>
            <w:r w:rsidRPr="031C2A76" w:rsidR="353E841A">
              <w:rPr>
                <w:rFonts w:ascii="Calibri" w:hAnsi="Calibri" w:eastAsia="Calibri" w:cs="Calibri"/>
                <w:noProof w:val="0"/>
                <w:sz w:val="22"/>
                <w:szCs w:val="22"/>
                <w:lang w:val="en-US"/>
              </w:rPr>
              <w:t>EXAMINE THE HOSPITALITY AND TOURISM INDUSTRY</w:t>
            </w:r>
          </w:p>
          <w:p w:rsidR="6842DACE" w:rsidP="031C2A76" w:rsidRDefault="6842DACE" w14:paraId="34D14B1C" w14:textId="2386C77F">
            <w:pPr>
              <w:spacing w:line="257" w:lineRule="auto"/>
            </w:pPr>
            <w:r w:rsidRPr="031C2A76" w:rsidR="353E841A">
              <w:rPr>
                <w:rFonts w:ascii="Calibri" w:hAnsi="Calibri" w:eastAsia="Calibri" w:cs="Calibri"/>
                <w:noProof w:val="0"/>
                <w:sz w:val="22"/>
                <w:szCs w:val="22"/>
                <w:lang w:val="en-US"/>
              </w:rPr>
              <w:t xml:space="preserve">2.0 </w:t>
            </w:r>
            <w:r>
              <w:tab/>
            </w:r>
            <w:r w:rsidRPr="031C2A76" w:rsidR="353E841A">
              <w:rPr>
                <w:rFonts w:ascii="Calibri" w:hAnsi="Calibri" w:eastAsia="Calibri" w:cs="Calibri"/>
                <w:noProof w:val="0"/>
                <w:sz w:val="22"/>
                <w:szCs w:val="22"/>
                <w:lang w:val="en-US"/>
              </w:rPr>
              <w:t>ANALYZE THE LODGING SECTOR</w:t>
            </w:r>
          </w:p>
          <w:p w:rsidR="6842DACE" w:rsidP="031C2A76" w:rsidRDefault="6842DACE" w14:paraId="0C4A0415" w14:textId="5208E030">
            <w:pPr>
              <w:spacing w:line="257" w:lineRule="auto"/>
            </w:pPr>
            <w:r w:rsidRPr="031C2A76" w:rsidR="353E841A">
              <w:rPr>
                <w:rFonts w:ascii="Calibri" w:hAnsi="Calibri" w:eastAsia="Calibri" w:cs="Calibri"/>
                <w:noProof w:val="0"/>
                <w:sz w:val="22"/>
                <w:szCs w:val="22"/>
                <w:lang w:val="en-US"/>
              </w:rPr>
              <w:t xml:space="preserve">3.0 </w:t>
            </w:r>
            <w:r>
              <w:tab/>
            </w:r>
            <w:r w:rsidRPr="031C2A76" w:rsidR="353E841A">
              <w:rPr>
                <w:rFonts w:ascii="Calibri" w:hAnsi="Calibri" w:eastAsia="Calibri" w:cs="Calibri"/>
                <w:noProof w:val="0"/>
                <w:sz w:val="22"/>
                <w:szCs w:val="22"/>
                <w:lang w:val="en-US"/>
              </w:rPr>
              <w:t>ANALYZE THE FOOD AND BEVERAGE SECTOR</w:t>
            </w:r>
          </w:p>
          <w:p w:rsidR="6842DACE" w:rsidP="031C2A76" w:rsidRDefault="6842DACE" w14:paraId="6DA3AABF" w14:textId="05FB946A">
            <w:pPr>
              <w:spacing w:line="257" w:lineRule="auto"/>
            </w:pPr>
            <w:r w:rsidRPr="031C2A76" w:rsidR="353E841A">
              <w:rPr>
                <w:rFonts w:ascii="Calibri" w:hAnsi="Calibri" w:eastAsia="Calibri" w:cs="Calibri"/>
                <w:noProof w:val="0"/>
                <w:sz w:val="22"/>
                <w:szCs w:val="22"/>
                <w:lang w:val="en-US"/>
              </w:rPr>
              <w:t xml:space="preserve">4.0 </w:t>
            </w:r>
            <w:r>
              <w:tab/>
            </w:r>
            <w:r w:rsidRPr="031C2A76" w:rsidR="353E841A">
              <w:rPr>
                <w:rFonts w:ascii="Calibri" w:hAnsi="Calibri" w:eastAsia="Calibri" w:cs="Calibri"/>
                <w:noProof w:val="0"/>
                <w:sz w:val="22"/>
                <w:szCs w:val="22"/>
                <w:lang w:val="en-US"/>
              </w:rPr>
              <w:t>ANALYZE THE RECREATION SECTOR</w:t>
            </w:r>
          </w:p>
          <w:p w:rsidR="6842DACE" w:rsidP="031C2A76" w:rsidRDefault="6842DACE" w14:paraId="0067257A" w14:textId="69FB55D7">
            <w:pPr>
              <w:spacing w:line="257" w:lineRule="auto"/>
            </w:pPr>
            <w:r w:rsidRPr="031C2A76" w:rsidR="353E841A">
              <w:rPr>
                <w:rFonts w:ascii="Calibri" w:hAnsi="Calibri" w:eastAsia="Calibri" w:cs="Calibri"/>
                <w:noProof w:val="0"/>
                <w:sz w:val="22"/>
                <w:szCs w:val="22"/>
                <w:lang w:val="en-US"/>
              </w:rPr>
              <w:t xml:space="preserve">5.0 </w:t>
            </w:r>
            <w:r>
              <w:tab/>
            </w:r>
            <w:r w:rsidRPr="031C2A76" w:rsidR="353E841A">
              <w:rPr>
                <w:rFonts w:ascii="Calibri" w:hAnsi="Calibri" w:eastAsia="Calibri" w:cs="Calibri"/>
                <w:noProof w:val="0"/>
                <w:sz w:val="22"/>
                <w:szCs w:val="22"/>
                <w:lang w:val="en-US"/>
              </w:rPr>
              <w:t>ANALYZE THE TRAVEL AND TOURISM SECTOR</w:t>
            </w:r>
          </w:p>
          <w:p w:rsidR="6842DACE" w:rsidP="031C2A76" w:rsidRDefault="6842DACE" w14:paraId="2EBCCA05" w14:textId="5F199051">
            <w:pPr>
              <w:spacing w:line="257" w:lineRule="auto"/>
            </w:pPr>
            <w:r w:rsidRPr="031C2A76" w:rsidR="353E841A">
              <w:rPr>
                <w:rFonts w:ascii="Calibri" w:hAnsi="Calibri" w:eastAsia="Calibri" w:cs="Calibri"/>
                <w:noProof w:val="0"/>
                <w:sz w:val="22"/>
                <w:szCs w:val="22"/>
                <w:lang w:val="en-US"/>
              </w:rPr>
              <w:t xml:space="preserve">6.0 </w:t>
            </w:r>
            <w:r>
              <w:tab/>
            </w:r>
            <w:r w:rsidRPr="031C2A76" w:rsidR="353E841A">
              <w:rPr>
                <w:rFonts w:ascii="Calibri" w:hAnsi="Calibri" w:eastAsia="Calibri" w:cs="Calibri"/>
                <w:noProof w:val="0"/>
                <w:sz w:val="22"/>
                <w:szCs w:val="22"/>
                <w:lang w:val="en-US"/>
              </w:rPr>
              <w:t>ANALYZE EVENT PLANNING AND THE EVENT MANGEMENT SECTOR</w:t>
            </w:r>
          </w:p>
          <w:p w:rsidR="6842DACE" w:rsidP="031C2A76" w:rsidRDefault="6842DACE" w14:paraId="3A0E83A6" w14:textId="779835CD">
            <w:pPr>
              <w:spacing w:line="257" w:lineRule="auto"/>
            </w:pPr>
            <w:r w:rsidRPr="031C2A76" w:rsidR="353E841A">
              <w:rPr>
                <w:rFonts w:ascii="Calibri" w:hAnsi="Calibri" w:eastAsia="Calibri" w:cs="Calibri"/>
                <w:noProof w:val="0"/>
                <w:sz w:val="22"/>
                <w:szCs w:val="22"/>
                <w:lang w:val="en-US"/>
              </w:rPr>
              <w:t xml:space="preserve">7.0 </w:t>
            </w:r>
            <w:r>
              <w:tab/>
            </w:r>
            <w:r w:rsidRPr="031C2A76" w:rsidR="353E841A">
              <w:rPr>
                <w:rFonts w:ascii="Calibri" w:hAnsi="Calibri" w:eastAsia="Calibri" w:cs="Calibri"/>
                <w:noProof w:val="0"/>
                <w:sz w:val="22"/>
                <w:szCs w:val="22"/>
                <w:lang w:val="en-US"/>
              </w:rPr>
              <w:t>EXAMINE GUEST/CUSTOMER SERVICE STRATEGIES WITHIN THE HOSPITALITY AND TOURISM INDUSTRY</w:t>
            </w:r>
          </w:p>
          <w:p w:rsidR="6842DACE" w:rsidP="031C2A76" w:rsidRDefault="6842DACE" w14:paraId="4B78FB02" w14:textId="1E15B0B7">
            <w:pPr>
              <w:spacing w:line="257" w:lineRule="auto"/>
            </w:pPr>
            <w:r w:rsidRPr="031C2A76" w:rsidR="353E841A">
              <w:rPr>
                <w:rFonts w:ascii="Calibri" w:hAnsi="Calibri" w:eastAsia="Calibri" w:cs="Calibri"/>
                <w:noProof w:val="0"/>
                <w:sz w:val="22"/>
                <w:szCs w:val="22"/>
                <w:lang w:val="en-US"/>
              </w:rPr>
              <w:t xml:space="preserve">8.0 </w:t>
            </w:r>
            <w:r>
              <w:tab/>
            </w:r>
            <w:r w:rsidRPr="031C2A76" w:rsidR="353E841A">
              <w:rPr>
                <w:rFonts w:ascii="Calibri" w:hAnsi="Calibri" w:eastAsia="Calibri" w:cs="Calibri"/>
                <w:noProof w:val="0"/>
                <w:sz w:val="22"/>
                <w:szCs w:val="22"/>
                <w:lang w:val="en-US"/>
              </w:rPr>
              <w:t>EVALUATE THE VALUE OF COMMUNICATION SKILLS WITHIN THE HOSPITALITY AND TOURISM INDUSTRY</w:t>
            </w:r>
          </w:p>
          <w:p w:rsidR="6842DACE" w:rsidP="031C2A76" w:rsidRDefault="6842DACE" w14:paraId="21CC8E55" w14:textId="276F50D9">
            <w:pPr>
              <w:spacing w:line="257" w:lineRule="auto"/>
            </w:pPr>
            <w:r w:rsidRPr="031C2A76" w:rsidR="353E841A">
              <w:rPr>
                <w:rFonts w:ascii="Calibri" w:hAnsi="Calibri" w:eastAsia="Calibri" w:cs="Calibri"/>
                <w:noProof w:val="0"/>
                <w:sz w:val="22"/>
                <w:szCs w:val="22"/>
                <w:lang w:val="en-US"/>
              </w:rPr>
              <w:t xml:space="preserve">9.0 </w:t>
            </w:r>
            <w:r>
              <w:tab/>
            </w:r>
            <w:r w:rsidRPr="031C2A76" w:rsidR="353E841A">
              <w:rPr>
                <w:rFonts w:ascii="Calibri" w:hAnsi="Calibri" w:eastAsia="Calibri" w:cs="Calibri"/>
                <w:noProof w:val="0"/>
                <w:sz w:val="22"/>
                <w:szCs w:val="22"/>
                <w:lang w:val="en-US"/>
              </w:rPr>
              <w:t>ASSESS THE SAFETY, SECURITY, AND SANITATION STANDARDS IN THE HOSPITALITY ENVIRONMENT</w:t>
            </w:r>
          </w:p>
          <w:p w:rsidR="6842DACE" w:rsidP="031C2A76" w:rsidRDefault="6842DACE" w14:paraId="03E88B9D" w14:textId="6CC83359">
            <w:pPr>
              <w:spacing w:line="257" w:lineRule="auto"/>
            </w:pPr>
            <w:r w:rsidRPr="031C2A76" w:rsidR="353E841A">
              <w:rPr>
                <w:rFonts w:ascii="Calibri" w:hAnsi="Calibri" w:eastAsia="Calibri" w:cs="Calibri"/>
                <w:noProof w:val="0"/>
                <w:sz w:val="22"/>
                <w:szCs w:val="22"/>
                <w:lang w:val="en-US"/>
              </w:rPr>
              <w:t xml:space="preserve">10.0 </w:t>
            </w:r>
            <w:r>
              <w:tab/>
            </w:r>
            <w:r w:rsidRPr="031C2A76" w:rsidR="353E841A">
              <w:rPr>
                <w:rFonts w:ascii="Calibri" w:hAnsi="Calibri" w:eastAsia="Calibri" w:cs="Calibri"/>
                <w:noProof w:val="0"/>
                <w:sz w:val="22"/>
                <w:szCs w:val="22"/>
                <w:lang w:val="en-US"/>
              </w:rPr>
              <w:t>EXAMINE THE SALES AND MARKETING FUNCTION IN THE HOSPITALITY AND TOURISM INDUSTRY</w:t>
            </w:r>
          </w:p>
          <w:p w:rsidR="6842DACE" w:rsidP="031C2A76" w:rsidRDefault="6842DACE" w14:paraId="226C088E" w14:textId="0F2F420B">
            <w:pPr>
              <w:spacing w:line="257" w:lineRule="auto"/>
            </w:pPr>
            <w:r w:rsidRPr="031C2A76" w:rsidR="353E841A">
              <w:rPr>
                <w:rFonts w:ascii="Calibri" w:hAnsi="Calibri" w:eastAsia="Calibri" w:cs="Calibri"/>
                <w:noProof w:val="0"/>
                <w:sz w:val="22"/>
                <w:szCs w:val="22"/>
                <w:lang w:val="en-US"/>
              </w:rPr>
              <w:t xml:space="preserve">11.0 </w:t>
            </w:r>
            <w:r>
              <w:tab/>
            </w:r>
            <w:r w:rsidRPr="031C2A76" w:rsidR="353E841A">
              <w:rPr>
                <w:rFonts w:ascii="Calibri" w:hAnsi="Calibri" w:eastAsia="Calibri" w:cs="Calibri"/>
                <w:noProof w:val="0"/>
                <w:sz w:val="22"/>
                <w:szCs w:val="22"/>
                <w:lang w:val="en-US"/>
              </w:rPr>
              <w:t>EXAMINE THE MANAGEMENT AND LEADERSHIP FUNCTIONS OF THE HOSPITALITY AND TOURSIM INDUSTRY</w:t>
            </w:r>
          </w:p>
          <w:p w:rsidR="6842DACE" w:rsidP="031C2A76" w:rsidRDefault="6842DACE" w14:paraId="6030F947" w14:textId="35B31395">
            <w:pPr>
              <w:spacing w:line="257" w:lineRule="auto"/>
            </w:pPr>
            <w:r w:rsidRPr="031C2A76" w:rsidR="353E841A">
              <w:rPr>
                <w:rFonts w:ascii="Calibri" w:hAnsi="Calibri" w:eastAsia="Calibri" w:cs="Calibri"/>
                <w:noProof w:val="0"/>
                <w:sz w:val="22"/>
                <w:szCs w:val="22"/>
                <w:lang w:val="en-US"/>
              </w:rPr>
              <w:t xml:space="preserve">12.0 </w:t>
            </w:r>
            <w:r>
              <w:tab/>
            </w:r>
            <w:r w:rsidRPr="031C2A76" w:rsidR="353E841A">
              <w:rPr>
                <w:rFonts w:ascii="Calibri" w:hAnsi="Calibri" w:eastAsia="Calibri" w:cs="Calibri"/>
                <w:noProof w:val="0"/>
                <w:sz w:val="22"/>
                <w:szCs w:val="22"/>
                <w:lang w:val="en-US"/>
              </w:rPr>
              <w:t>EXPLORE FINANCIAL MANAGEMENT IN THE HOSPITALITY INDUSTRY</w:t>
            </w:r>
          </w:p>
          <w:p w:rsidR="6842DACE" w:rsidP="031C2A76" w:rsidRDefault="6842DACE" w14:paraId="75D872EA" w14:textId="38106803">
            <w:pPr>
              <w:spacing w:line="257" w:lineRule="auto"/>
            </w:pPr>
            <w:r w:rsidRPr="031C2A76" w:rsidR="353E841A">
              <w:rPr>
                <w:rFonts w:ascii="Calibri" w:hAnsi="Calibri" w:eastAsia="Calibri" w:cs="Calibri"/>
                <w:noProof w:val="0"/>
                <w:sz w:val="22"/>
                <w:szCs w:val="22"/>
                <w:lang w:val="en-US"/>
              </w:rPr>
              <w:t xml:space="preserve">13.0 </w:t>
            </w:r>
            <w:r>
              <w:tab/>
            </w:r>
            <w:r w:rsidRPr="031C2A76" w:rsidR="353E841A">
              <w:rPr>
                <w:rFonts w:ascii="Calibri" w:hAnsi="Calibri" w:eastAsia="Calibri" w:cs="Calibri"/>
                <w:noProof w:val="0"/>
                <w:sz w:val="22"/>
                <w:szCs w:val="22"/>
                <w:lang w:val="en-US"/>
              </w:rPr>
              <w:t>EXPLORE THE LEGAL AND ETHICAL RESPONSIBILITIES IN THE HOSPITALITY AND TOURISM INDUSTRY</w:t>
            </w:r>
          </w:p>
          <w:p w:rsidR="6842DACE" w:rsidP="031C2A76" w:rsidRDefault="6842DACE" w14:paraId="53222821" w14:textId="606F76BE">
            <w:pPr>
              <w:pStyle w:val="Normal"/>
              <w:spacing w:line="259" w:lineRule="auto"/>
              <w:rPr>
                <w:rFonts w:ascii="Calibri" w:hAnsi="Calibri" w:eastAsia="Calibri" w:cs="Calibri"/>
                <w:color w:val="000000" w:themeColor="text1" w:themeTint="FF" w:themeShade="FF"/>
                <w:sz w:val="24"/>
                <w:szCs w:val="24"/>
              </w:rPr>
            </w:pPr>
          </w:p>
          <w:p w:rsidR="6842DACE" w:rsidP="6842DACE" w:rsidRDefault="6842DACE" w14:paraId="6927F8C1" w14:textId="5EAA24E0">
            <w:pPr>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4742BD16"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031C2A76" w:rsidR="2251D6FF">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6842DACE" w:rsidP="031C2A76" w:rsidRDefault="6842DACE" w14:paraId="4A817118" w14:textId="5EBAE00A">
            <w:pPr>
              <w:spacing w:line="257" w:lineRule="auto"/>
            </w:pPr>
            <w:r w:rsidRPr="031C2A76" w:rsidR="37FF5B03">
              <w:rPr>
                <w:rFonts w:ascii="Calibri" w:hAnsi="Calibri" w:eastAsia="Calibri" w:cs="Calibri"/>
                <w:noProof w:val="0"/>
                <w:sz w:val="22"/>
                <w:szCs w:val="22"/>
                <w:lang w:val="en-US"/>
              </w:rPr>
              <w:t>The Arizona Department of Education CTE (Career and Technical Education) State Standards test is a standardized assessment designed to measure students' knowledge and understanding of the CTE State Standards in Arizona. The test assesses students' competency in technical skills, employability skills, and academic concepts related to their chosen career pathway.</w:t>
            </w:r>
          </w:p>
          <w:p w:rsidR="6842DACE" w:rsidP="031C2A76" w:rsidRDefault="6842DACE" w14:paraId="4FFC2F9D" w14:textId="3B7F9BDF">
            <w:pPr>
              <w:pStyle w:val="Normal"/>
              <w:spacing w:line="257" w:lineRule="auto"/>
              <w:rPr>
                <w:rFonts w:ascii="Calibri" w:hAnsi="Calibri" w:eastAsia="Calibri" w:cs="Calibri"/>
                <w:noProof w:val="0"/>
                <w:sz w:val="22"/>
                <w:szCs w:val="22"/>
                <w:lang w:val="en-US"/>
              </w:rPr>
            </w:pPr>
          </w:p>
          <w:p w:rsidR="6842DACE" w:rsidP="031C2A76" w:rsidRDefault="6842DACE" w14:paraId="732BECAA" w14:textId="261BE48B">
            <w:pPr>
              <w:spacing w:line="257" w:lineRule="auto"/>
              <w:rPr>
                <w:rFonts w:ascii="Calibri" w:hAnsi="Calibri" w:eastAsia="Calibri" w:cs="Calibri"/>
                <w:noProof w:val="0"/>
                <w:sz w:val="22"/>
                <w:szCs w:val="22"/>
                <w:lang w:val="en-US"/>
              </w:rPr>
            </w:pPr>
            <w:r w:rsidRPr="031C2A76" w:rsidR="37FF5B03">
              <w:rPr>
                <w:rFonts w:ascii="Calibri" w:hAnsi="Calibri" w:eastAsia="Calibri" w:cs="Calibri"/>
                <w:noProof w:val="0"/>
                <w:sz w:val="22"/>
                <w:szCs w:val="22"/>
                <w:lang w:val="en-US"/>
              </w:rPr>
              <w:t xml:space="preserve">The CTE State Standards test is built by Hospitality and Culinary Industry Professionals and educators. It consists of 100 multiple-choice questions across 12 Department of Education-adopted state standards for students' ability to apply their knowledge to real-world scenarios. The test is updated every 5 years and pools from a bank of over 500 questions. </w:t>
            </w:r>
          </w:p>
          <w:p w:rsidR="6842DACE" w:rsidP="031C2A76" w:rsidRDefault="6842DACE" w14:paraId="5D4B63B3" w14:textId="6795A310">
            <w:pPr>
              <w:spacing w:line="257" w:lineRule="auto"/>
            </w:pPr>
            <w:r w:rsidRPr="031C2A76" w:rsidR="37FF5B03">
              <w:rPr>
                <w:rFonts w:ascii="Calibri" w:hAnsi="Calibri" w:eastAsia="Calibri" w:cs="Calibri"/>
                <w:noProof w:val="0"/>
                <w:sz w:val="22"/>
                <w:szCs w:val="22"/>
                <w:lang w:val="en-US"/>
              </w:rPr>
              <w:t xml:space="preserve"> </w:t>
            </w:r>
          </w:p>
          <w:p w:rsidR="6842DACE" w:rsidP="031C2A76" w:rsidRDefault="6842DACE" w14:paraId="45634E3C" w14:textId="215F5EBC">
            <w:pPr>
              <w:spacing w:line="257" w:lineRule="auto"/>
            </w:pPr>
            <w:r w:rsidRPr="031C2A76" w:rsidR="37FF5B03">
              <w:rPr>
                <w:rFonts w:ascii="Calibri" w:hAnsi="Calibri" w:eastAsia="Calibri" w:cs="Calibri"/>
                <w:noProof w:val="0"/>
                <w:sz w:val="22"/>
                <w:szCs w:val="22"/>
                <w:lang w:val="en-US"/>
              </w:rPr>
              <w:t>The test is designed to provide students with the opportunity to demonstrate their understanding of the Hospitality industry State Standards and to prepare them for success in their future careers. Additionally, the test results provide valuable feedback to educators on the effectiveness of their teaching and the quality of their CTE programs. The Arizona Department of Education CTE State Standards test is an essential tool for measuring students' readiness for the workforce and ensuring that Arizona's CTE programs provide students with the necessary skills to succeed in their chosen careers.</w:t>
            </w:r>
          </w:p>
          <w:p w:rsidR="6842DACE" w:rsidP="031C2A76" w:rsidRDefault="6842DACE" w14:paraId="21F6E559" w14:textId="59997638">
            <w:pPr>
              <w:pStyle w:val="Normal"/>
              <w:spacing w:line="257" w:lineRule="auto"/>
              <w:rPr>
                <w:rFonts w:ascii="Calibri" w:hAnsi="Calibri" w:eastAsia="Calibri" w:cs="Calibri"/>
                <w:noProof w:val="0"/>
                <w:sz w:val="22"/>
                <w:szCs w:val="22"/>
                <w:lang w:val="en-US"/>
              </w:rPr>
            </w:pPr>
          </w:p>
          <w:p w:rsidR="6842DACE" w:rsidP="031C2A76" w:rsidRDefault="6842DACE" w14:paraId="0F0BF15C" w14:textId="5A4962FA">
            <w:pPr>
              <w:pStyle w:val="Normal"/>
              <w:spacing w:line="257" w:lineRule="auto"/>
              <w:rPr>
                <w:rFonts w:ascii="Calibri" w:hAnsi="Calibri" w:eastAsia="Calibri" w:cs="Calibri"/>
                <w:noProof w:val="0"/>
                <w:sz w:val="22"/>
                <w:szCs w:val="22"/>
                <w:lang w:val="en-US"/>
              </w:rPr>
            </w:pPr>
            <w:r w:rsidRPr="031C2A76" w:rsidR="37FF5B03">
              <w:rPr>
                <w:rFonts w:ascii="Calibri" w:hAnsi="Calibri" w:eastAsia="Calibri" w:cs="Calibri"/>
                <w:noProof w:val="0"/>
                <w:sz w:val="22"/>
                <w:szCs w:val="22"/>
                <w:lang w:val="en-US"/>
              </w:rPr>
              <w:t>Students are required to pass with a 65% or higher to achieve a certificate denoting a comprehensive understanding of the hospitality industry.</w:t>
            </w:r>
          </w:p>
          <w:p w:rsidR="6842DACE" w:rsidP="031C2A76" w:rsidRDefault="6842DACE" w14:paraId="7B43BF56" w14:textId="028211EC">
            <w:pPr>
              <w:pStyle w:val="Normal"/>
              <w:spacing w:line="259" w:lineRule="auto"/>
              <w:rPr>
                <w:rFonts w:ascii="Calibri" w:hAnsi="Calibri" w:eastAsia="Calibri" w:cs="Calibri"/>
                <w:color w:val="000000" w:themeColor="text1" w:themeTint="FF" w:themeShade="FF"/>
                <w:sz w:val="24"/>
                <w:szCs w:val="24"/>
              </w:rPr>
            </w:pPr>
          </w:p>
        </w:tc>
      </w:tr>
      <w:tr w:rsidR="6842DACE" w:rsidTr="4742BD16" w14:paraId="02D5449D">
        <w:trPr>
          <w:trHeight w:val="1600"/>
        </w:trPr>
        <w:tc>
          <w:tcPr>
            <w:tcW w:w="14526" w:type="dxa"/>
            <w:tcMar/>
          </w:tcPr>
          <w:p w:rsidR="6842DACE" w:rsidP="6842DACE" w:rsidRDefault="6842DACE" w14:paraId="79EE76D5" w14:textId="280A6D2C">
            <w:pPr>
              <w:spacing w:line="259" w:lineRule="auto"/>
              <w:rPr>
                <w:rFonts w:ascii="Calibri" w:hAnsi="Calibri" w:eastAsia="Calibri" w:cs="Calibri"/>
                <w:b w:val="1"/>
                <w:bCs w:val="1"/>
                <w:color w:val="000000" w:themeColor="text1" w:themeTint="FF" w:themeShade="FF"/>
                <w:sz w:val="24"/>
                <w:szCs w:val="24"/>
              </w:rPr>
            </w:pPr>
            <w:r w:rsidRPr="031C2A76" w:rsidR="2251D6FF">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determined as proficient? (For example, a student </w:t>
            </w:r>
            <w:r w:rsidRPr="031C2A76" w:rsidR="2251D6FF">
              <w:rPr>
                <w:rFonts w:ascii="Calibri" w:hAnsi="Calibri" w:eastAsia="Calibri" w:cs="Calibri"/>
                <w:b w:val="1"/>
                <w:bCs w:val="1"/>
                <w:color w:val="000000" w:themeColor="text1" w:themeTint="FF" w:themeShade="FF"/>
                <w:sz w:val="24"/>
                <w:szCs w:val="24"/>
              </w:rPr>
              <w:t>has to</w:t>
            </w:r>
            <w:r w:rsidRPr="031C2A76" w:rsidR="2251D6FF">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6842DACE" w:rsidP="031C2A76" w:rsidRDefault="6842DACE" w14:paraId="54400BC5" w14:textId="183886C9">
            <w:pPr>
              <w:pStyle w:val="Normal"/>
            </w:pPr>
            <w:r w:rsidR="4B1BACFB">
              <w:drawing>
                <wp:inline wp14:editId="6723A18B" wp14:anchorId="3E9A514A">
                  <wp:extent cx="5476875" cy="2031008"/>
                  <wp:effectExtent l="0" t="0" r="0" b="0"/>
                  <wp:docPr id="952375436" name="" title=""/>
                  <wp:cNvGraphicFramePr>
                    <a:graphicFrameLocks noChangeAspect="1"/>
                  </wp:cNvGraphicFramePr>
                  <a:graphic>
                    <a:graphicData uri="http://schemas.openxmlformats.org/drawingml/2006/picture">
                      <pic:pic>
                        <pic:nvPicPr>
                          <pic:cNvPr id="0" name=""/>
                          <pic:cNvPicPr/>
                        </pic:nvPicPr>
                        <pic:blipFill>
                          <a:blip r:embed="Rc6244f06105341a1">
                            <a:extLst>
                              <a:ext xmlns:a="http://schemas.openxmlformats.org/drawingml/2006/main" uri="{28A0092B-C50C-407E-A947-70E740481C1C}">
                                <a14:useLocalDpi val="0"/>
                              </a:ext>
                            </a:extLst>
                          </a:blip>
                          <a:stretch>
                            <a:fillRect/>
                          </a:stretch>
                        </pic:blipFill>
                        <pic:spPr>
                          <a:xfrm>
                            <a:off x="0" y="0"/>
                            <a:ext cx="5476875" cy="2031008"/>
                          </a:xfrm>
                          <a:prstGeom prst="rect">
                            <a:avLst/>
                          </a:prstGeom>
                        </pic:spPr>
                      </pic:pic>
                    </a:graphicData>
                  </a:graphic>
                </wp:inline>
              </w:drawing>
            </w:r>
          </w:p>
          <w:p w:rsidR="6842DACE" w:rsidP="6842DACE" w:rsidRDefault="6842DACE" w14:paraId="4D7F5EFF" w14:textId="7CDC74B0">
            <w:pPr>
              <w:rPr>
                <w:rFonts w:ascii="Times New Roman" w:hAnsi="Times New Roman" w:eastAsia="Times New Roman" w:cs="Times New Roman"/>
                <w:color w:val="000000" w:themeColor="text1" w:themeTint="FF" w:themeShade="FF"/>
                <w:sz w:val="30"/>
                <w:szCs w:val="30"/>
              </w:rPr>
            </w:pPr>
          </w:p>
          <w:p w:rsidR="031C2A76" w:rsidP="031C2A76" w:rsidRDefault="031C2A76" w14:paraId="5E983B03" w14:textId="1617F3AB">
            <w:pPr>
              <w:pStyle w:val="Normal"/>
              <w:rPr>
                <w:rFonts w:ascii="Times New Roman" w:hAnsi="Times New Roman" w:eastAsia="Times New Roman" w:cs="Times New Roman"/>
                <w:color w:val="000000" w:themeColor="text1" w:themeTint="FF" w:themeShade="FF"/>
                <w:sz w:val="30"/>
                <w:szCs w:val="30"/>
              </w:rPr>
            </w:pPr>
          </w:p>
          <w:p w:rsidR="6E2BE974" w:rsidP="031C2A76" w:rsidRDefault="6E2BE974" w14:paraId="3F5C7364" w14:textId="6272800F">
            <w:pPr>
              <w:pStyle w:val="Normal"/>
              <w:rPr>
                <w:rFonts w:ascii="Times New Roman" w:hAnsi="Times New Roman" w:eastAsia="Times New Roman" w:cs="Times New Roman"/>
                <w:color w:val="000000" w:themeColor="text1" w:themeTint="FF" w:themeShade="FF"/>
                <w:sz w:val="30"/>
                <w:szCs w:val="30"/>
              </w:rPr>
            </w:pPr>
            <w:r w:rsidRPr="031C2A76" w:rsidR="6E2BE974">
              <w:rPr>
                <w:rFonts w:ascii="Times New Roman" w:hAnsi="Times New Roman" w:eastAsia="Times New Roman" w:cs="Times New Roman"/>
                <w:color w:val="000000" w:themeColor="text1" w:themeTint="FF" w:themeShade="FF"/>
                <w:sz w:val="30"/>
                <w:szCs w:val="30"/>
              </w:rPr>
              <w:t>Side by side comparison between 2022 and 2023:</w:t>
            </w:r>
          </w:p>
          <w:p w:rsidR="0F9E6B9D" w:rsidP="031C2A76" w:rsidRDefault="0F9E6B9D" w14:paraId="42C71334" w14:textId="429A9275">
            <w:pPr>
              <w:pStyle w:val="Normal"/>
            </w:pPr>
            <w:r w:rsidR="0F9E6B9D">
              <w:drawing>
                <wp:inline wp14:editId="2D56623B" wp14:anchorId="7A71517D">
                  <wp:extent cx="8972550" cy="2635687"/>
                  <wp:effectExtent l="0" t="0" r="0" b="0"/>
                  <wp:docPr id="1377487746" name="" title=""/>
                  <wp:cNvGraphicFramePr>
                    <a:graphicFrameLocks noChangeAspect="1"/>
                  </wp:cNvGraphicFramePr>
                  <a:graphic>
                    <a:graphicData uri="http://schemas.openxmlformats.org/drawingml/2006/picture">
                      <pic:pic>
                        <pic:nvPicPr>
                          <pic:cNvPr id="0" name=""/>
                          <pic:cNvPicPr/>
                        </pic:nvPicPr>
                        <pic:blipFill>
                          <a:blip r:embed="Rbcff74c3871547cc">
                            <a:extLst>
                              <a:ext xmlns:a="http://schemas.openxmlformats.org/drawingml/2006/main" uri="{28A0092B-C50C-407E-A947-70E740481C1C}">
                                <a14:useLocalDpi val="0"/>
                              </a:ext>
                            </a:extLst>
                          </a:blip>
                          <a:stretch>
                            <a:fillRect/>
                          </a:stretch>
                        </pic:blipFill>
                        <pic:spPr>
                          <a:xfrm>
                            <a:off x="0" y="0"/>
                            <a:ext cx="8972550" cy="2635687"/>
                          </a:xfrm>
                          <a:prstGeom prst="rect">
                            <a:avLst/>
                          </a:prstGeom>
                        </pic:spPr>
                      </pic:pic>
                    </a:graphicData>
                  </a:graphic>
                </wp:inline>
              </w:drawing>
            </w:r>
          </w:p>
          <w:p w:rsidR="6842DACE" w:rsidP="5266FB34" w:rsidRDefault="6842DACE" w14:paraId="00E49BE7" w14:textId="014A6839">
            <w:pPr>
              <w:rPr>
                <w:rFonts w:ascii="Times New Roman" w:hAnsi="Times New Roman" w:eastAsia="Times New Roman" w:cs="Times New Roman"/>
                <w:color w:val="000000" w:themeColor="text1" w:themeTint="FF" w:themeShade="FF"/>
                <w:sz w:val="30"/>
                <w:szCs w:val="30"/>
              </w:rPr>
            </w:pPr>
          </w:p>
          <w:p w:rsidR="6842DACE" w:rsidP="5266FB34" w:rsidRDefault="6842DACE" w14:paraId="6CA9F1A0" w14:textId="0F4D5789">
            <w:pPr>
              <w:pStyle w:val="Normal"/>
              <w:rPr>
                <w:rFonts w:ascii="Times New Roman" w:hAnsi="Times New Roman" w:eastAsia="Times New Roman" w:cs="Times New Roman"/>
                <w:color w:val="000000" w:themeColor="text1" w:themeTint="FF" w:themeShade="FF"/>
                <w:sz w:val="30"/>
                <w:szCs w:val="30"/>
              </w:rPr>
            </w:pPr>
          </w:p>
          <w:p w:rsidR="6842DACE" w:rsidP="5266FB34" w:rsidRDefault="6842DACE" w14:paraId="550A9846" w14:textId="68357E3A">
            <w:pPr>
              <w:rPr>
                <w:rFonts w:ascii="Times New Roman" w:hAnsi="Times New Roman" w:eastAsia="Times New Roman" w:cs="Times New Roman"/>
                <w:color w:val="000000" w:themeColor="text1" w:themeTint="FF" w:themeShade="FF"/>
                <w:sz w:val="30"/>
                <w:szCs w:val="30"/>
              </w:rPr>
            </w:pPr>
            <w:r w:rsidRPr="5266FB34" w:rsidR="50BAE100">
              <w:rPr>
                <w:rFonts w:ascii="Times New Roman" w:hAnsi="Times New Roman" w:eastAsia="Times New Roman" w:cs="Times New Roman"/>
                <w:color w:val="000000" w:themeColor="text1" w:themeTint="FF" w:themeShade="FF"/>
                <w:sz w:val="30"/>
                <w:szCs w:val="30"/>
              </w:rPr>
              <w:t xml:space="preserve">Additional information: </w:t>
            </w:r>
          </w:p>
          <w:p w:rsidR="6842DACE" w:rsidP="5266FB34" w:rsidRDefault="6842DACE" w14:paraId="6D11B727" w14:textId="2E5F3795">
            <w:pPr>
              <w:pStyle w:val="Normal"/>
              <w:rPr>
                <w:rFonts w:ascii="Times New Roman" w:hAnsi="Times New Roman" w:eastAsia="Times New Roman" w:cs="Times New Roman"/>
                <w:color w:val="000000" w:themeColor="text1" w:themeTint="FF" w:themeShade="FF"/>
                <w:sz w:val="30"/>
                <w:szCs w:val="30"/>
              </w:rPr>
            </w:pPr>
            <w:r w:rsidRPr="5266FB34" w:rsidR="50BAE100">
              <w:rPr>
                <w:rFonts w:ascii="Times New Roman" w:hAnsi="Times New Roman" w:eastAsia="Times New Roman" w:cs="Times New Roman"/>
                <w:color w:val="000000" w:themeColor="text1" w:themeTint="FF" w:themeShade="FF"/>
                <w:sz w:val="30"/>
                <w:szCs w:val="30"/>
              </w:rPr>
              <w:t>Students taking the State test first complete the following Course National Industry Exams.  These exams are built by the American Hotel &amp; Lodging Association and are tied to a National Industry Certification.  They are a good predictor of student performance for the State Exam.</w:t>
            </w:r>
          </w:p>
          <w:p w:rsidR="6842DACE" w:rsidP="5266FB34" w:rsidRDefault="6842DACE" w14:paraId="396811F7" w14:textId="7EE82E9C">
            <w:pPr>
              <w:pStyle w:val="Normal"/>
              <w:rPr>
                <w:rFonts w:ascii="Times New Roman" w:hAnsi="Times New Roman" w:eastAsia="Times New Roman" w:cs="Times New Roman"/>
                <w:color w:val="000000" w:themeColor="text1" w:themeTint="FF" w:themeShade="FF"/>
                <w:sz w:val="30"/>
                <w:szCs w:val="30"/>
              </w:rPr>
            </w:pPr>
          </w:p>
          <w:p w:rsidR="6842DACE" w:rsidP="5266FB34" w:rsidRDefault="6842DACE" w14:paraId="4D1D7B1F" w14:textId="1F559CD1">
            <w:pPr>
              <w:pStyle w:val="Normal"/>
              <w:rPr>
                <w:rFonts w:ascii="Times New Roman" w:hAnsi="Times New Roman" w:eastAsia="Times New Roman" w:cs="Times New Roman"/>
                <w:color w:val="000000" w:themeColor="text1" w:themeTint="FF" w:themeShade="FF"/>
                <w:sz w:val="30"/>
                <w:szCs w:val="30"/>
              </w:rPr>
            </w:pPr>
            <w:r w:rsidRPr="5266FB34" w:rsidR="50BAE100">
              <w:rPr>
                <w:rFonts w:ascii="Times New Roman" w:hAnsi="Times New Roman" w:eastAsia="Times New Roman" w:cs="Times New Roman"/>
                <w:color w:val="000000" w:themeColor="text1" w:themeTint="FF" w:themeShade="FF"/>
                <w:sz w:val="30"/>
                <w:szCs w:val="30"/>
              </w:rPr>
              <w:t xml:space="preserve">HRM100 Fall 2022: </w:t>
            </w:r>
          </w:p>
          <w:p w:rsidR="6842DACE" w:rsidP="5266FB34" w:rsidRDefault="6842DACE" w14:paraId="13D06A4B" w14:textId="2395FC3A">
            <w:pPr>
              <w:pStyle w:val="Normal"/>
            </w:pPr>
            <w:r w:rsidR="50BAE100">
              <w:drawing>
                <wp:inline wp14:editId="067B5F5A" wp14:anchorId="4F85E702">
                  <wp:extent cx="4572000" cy="4229100"/>
                  <wp:effectExtent l="0" t="0" r="0" b="0"/>
                  <wp:docPr id="1820336118" name="" title=""/>
                  <wp:cNvGraphicFramePr>
                    <a:graphicFrameLocks noChangeAspect="1"/>
                  </wp:cNvGraphicFramePr>
                  <a:graphic>
                    <a:graphicData uri="http://schemas.openxmlformats.org/drawingml/2006/picture">
                      <pic:pic>
                        <pic:nvPicPr>
                          <pic:cNvPr id="0" name=""/>
                          <pic:cNvPicPr/>
                        </pic:nvPicPr>
                        <pic:blipFill>
                          <a:blip r:embed="Rdc42484fa3724818">
                            <a:extLst>
                              <a:ext xmlns:a="http://schemas.openxmlformats.org/drawingml/2006/main" uri="{28A0092B-C50C-407E-A947-70E740481C1C}">
                                <a14:useLocalDpi val="0"/>
                              </a:ext>
                            </a:extLst>
                          </a:blip>
                          <a:stretch>
                            <a:fillRect/>
                          </a:stretch>
                        </pic:blipFill>
                        <pic:spPr>
                          <a:xfrm>
                            <a:off x="0" y="0"/>
                            <a:ext cx="4572000" cy="4229100"/>
                          </a:xfrm>
                          <a:prstGeom prst="rect">
                            <a:avLst/>
                          </a:prstGeom>
                        </pic:spPr>
                      </pic:pic>
                    </a:graphicData>
                  </a:graphic>
                </wp:inline>
              </w:drawing>
            </w:r>
          </w:p>
          <w:p w:rsidR="6842DACE" w:rsidP="5266FB34" w:rsidRDefault="6842DACE" w14:paraId="16645207" w14:textId="33339D25">
            <w:pPr>
              <w:pStyle w:val="Normal"/>
              <w:rPr>
                <w:rFonts w:ascii="Times New Roman" w:hAnsi="Times New Roman" w:eastAsia="Times New Roman" w:cs="Times New Roman"/>
                <w:color w:val="000000" w:themeColor="text1" w:themeTint="FF" w:themeShade="FF"/>
                <w:sz w:val="30"/>
                <w:szCs w:val="30"/>
              </w:rPr>
            </w:pPr>
          </w:p>
          <w:p w:rsidR="6842DACE" w:rsidP="5266FB34" w:rsidRDefault="6842DACE" w14:paraId="4DFED7BD" w14:textId="297C3007">
            <w:pPr>
              <w:pStyle w:val="Normal"/>
              <w:rPr>
                <w:rFonts w:ascii="Times New Roman" w:hAnsi="Times New Roman" w:eastAsia="Times New Roman" w:cs="Times New Roman"/>
                <w:color w:val="000000" w:themeColor="text1" w:themeTint="FF" w:themeShade="FF"/>
                <w:sz w:val="30"/>
                <w:szCs w:val="30"/>
              </w:rPr>
            </w:pPr>
            <w:r w:rsidRPr="5266FB34" w:rsidR="11AAB9A7">
              <w:rPr>
                <w:rFonts w:ascii="Times New Roman" w:hAnsi="Times New Roman" w:eastAsia="Times New Roman" w:cs="Times New Roman"/>
                <w:color w:val="000000" w:themeColor="text1" w:themeTint="FF" w:themeShade="FF"/>
                <w:sz w:val="30"/>
                <w:szCs w:val="30"/>
              </w:rPr>
              <w:t xml:space="preserve">HRM102 Fall 2022: </w:t>
            </w:r>
          </w:p>
          <w:p w:rsidR="6842DACE" w:rsidP="5266FB34" w:rsidRDefault="6842DACE" w14:paraId="1F8969A4" w14:textId="25F5C7E4">
            <w:pPr>
              <w:pStyle w:val="Normal"/>
              <w:rPr>
                <w:rFonts w:ascii="Times New Roman" w:hAnsi="Times New Roman" w:eastAsia="Times New Roman" w:cs="Times New Roman"/>
                <w:color w:val="000000" w:themeColor="text1" w:themeTint="FF" w:themeShade="FF"/>
                <w:sz w:val="30"/>
                <w:szCs w:val="30"/>
              </w:rPr>
            </w:pPr>
          </w:p>
          <w:p w:rsidR="6842DACE" w:rsidP="5266FB34" w:rsidRDefault="6842DACE" w14:paraId="5CD6DD2C" w14:textId="09DBAB1B">
            <w:pPr>
              <w:pStyle w:val="Normal"/>
              <w:rPr>
                <w:rFonts w:ascii="Times New Roman" w:hAnsi="Times New Roman" w:eastAsia="Times New Roman" w:cs="Times New Roman"/>
                <w:color w:val="000000" w:themeColor="text1" w:themeTint="FF" w:themeShade="FF"/>
                <w:sz w:val="30"/>
                <w:szCs w:val="30"/>
              </w:rPr>
            </w:pPr>
            <w:r w:rsidRPr="5266FB34" w:rsidR="11AAB9A7">
              <w:rPr>
                <w:rFonts w:ascii="Times New Roman" w:hAnsi="Times New Roman" w:eastAsia="Times New Roman" w:cs="Times New Roman"/>
                <w:color w:val="000000" w:themeColor="text1" w:themeTint="FF" w:themeShade="FF"/>
                <w:sz w:val="30"/>
                <w:szCs w:val="30"/>
              </w:rPr>
              <w:t>HRM101 Spring 2023: Pending</w:t>
            </w:r>
          </w:p>
          <w:p w:rsidR="6842DACE" w:rsidP="5266FB34" w:rsidRDefault="6842DACE" w14:paraId="42DDD38D" w14:textId="1F41FB73">
            <w:pPr>
              <w:pStyle w:val="Normal"/>
              <w:rPr>
                <w:rFonts w:ascii="Times New Roman" w:hAnsi="Times New Roman" w:eastAsia="Times New Roman" w:cs="Times New Roman"/>
                <w:color w:val="000000" w:themeColor="text1" w:themeTint="FF" w:themeShade="FF"/>
                <w:sz w:val="30"/>
                <w:szCs w:val="30"/>
              </w:rPr>
            </w:pPr>
          </w:p>
          <w:p w:rsidR="6842DACE" w:rsidP="5266FB34" w:rsidRDefault="6842DACE" w14:paraId="47F7824F" w14:textId="63B00A7F">
            <w:pPr>
              <w:pStyle w:val="Normal"/>
              <w:rPr>
                <w:rFonts w:ascii="Times New Roman" w:hAnsi="Times New Roman" w:eastAsia="Times New Roman" w:cs="Times New Roman"/>
                <w:color w:val="000000" w:themeColor="text1" w:themeTint="FF" w:themeShade="FF"/>
                <w:sz w:val="30"/>
                <w:szCs w:val="30"/>
              </w:rPr>
            </w:pPr>
            <w:r w:rsidRPr="5266FB34" w:rsidR="11AAB9A7">
              <w:rPr>
                <w:rFonts w:ascii="Times New Roman" w:hAnsi="Times New Roman" w:eastAsia="Times New Roman" w:cs="Times New Roman"/>
                <w:color w:val="000000" w:themeColor="text1" w:themeTint="FF" w:themeShade="FF"/>
                <w:sz w:val="30"/>
                <w:szCs w:val="30"/>
              </w:rPr>
              <w:t>HRM 252 Spring 2023: Pending</w:t>
            </w:r>
          </w:p>
          <w:p w:rsidR="6842DACE" w:rsidP="5266FB34" w:rsidRDefault="6842DACE" w14:paraId="44707EC0" w14:textId="34F90E4F">
            <w:pPr>
              <w:pStyle w:val="Normal"/>
              <w:rPr>
                <w:rFonts w:ascii="Times New Roman" w:hAnsi="Times New Roman" w:eastAsia="Times New Roman" w:cs="Times New Roman"/>
                <w:color w:val="000000" w:themeColor="text1" w:themeTint="FF" w:themeShade="FF"/>
                <w:sz w:val="30"/>
                <w:szCs w:val="30"/>
              </w:rPr>
            </w:pPr>
          </w:p>
          <w:p w:rsidR="6842DACE" w:rsidP="5266FB34" w:rsidRDefault="6842DACE" w14:paraId="47E8347B" w14:textId="0F20B304">
            <w:pPr>
              <w:pStyle w:val="Normal"/>
              <w:rPr>
                <w:rFonts w:ascii="Times New Roman" w:hAnsi="Times New Roman" w:eastAsia="Times New Roman" w:cs="Times New Roman"/>
                <w:color w:val="000000" w:themeColor="text1" w:themeTint="FF" w:themeShade="FF"/>
                <w:sz w:val="30"/>
                <w:szCs w:val="30"/>
              </w:rPr>
            </w:pPr>
            <w:r w:rsidRPr="5266FB34" w:rsidR="11AAB9A7">
              <w:rPr>
                <w:rFonts w:ascii="Times New Roman" w:hAnsi="Times New Roman" w:eastAsia="Times New Roman" w:cs="Times New Roman"/>
                <w:color w:val="000000" w:themeColor="text1" w:themeTint="FF" w:themeShade="FF"/>
                <w:sz w:val="30"/>
                <w:szCs w:val="30"/>
              </w:rPr>
              <w:t xml:space="preserve">HRM103 Spring 2023: Pending </w:t>
            </w:r>
          </w:p>
          <w:p w:rsidR="6842DACE" w:rsidP="5266FB34" w:rsidRDefault="6842DACE" w14:paraId="5DFC45DF" w14:textId="34F56948">
            <w:pPr>
              <w:pStyle w:val="Normal"/>
              <w:rPr>
                <w:rFonts w:ascii="Times New Roman" w:hAnsi="Times New Roman" w:eastAsia="Times New Roman" w:cs="Times New Roman"/>
                <w:color w:val="000000" w:themeColor="text1" w:themeTint="FF" w:themeShade="FF"/>
                <w:sz w:val="30"/>
                <w:szCs w:val="30"/>
              </w:rPr>
            </w:pPr>
          </w:p>
          <w:p w:rsidR="6842DACE" w:rsidP="5266FB34" w:rsidRDefault="6842DACE" w14:paraId="5FB90C6B" w14:textId="137C3A42">
            <w:pPr>
              <w:pStyle w:val="Normal"/>
              <w:rPr>
                <w:rFonts w:ascii="Times New Roman" w:hAnsi="Times New Roman" w:eastAsia="Times New Roman" w:cs="Times New Roman"/>
                <w:color w:val="000000" w:themeColor="text1" w:themeTint="FF" w:themeShade="FF"/>
                <w:sz w:val="30"/>
                <w:szCs w:val="30"/>
              </w:rPr>
            </w:pPr>
          </w:p>
        </w:tc>
      </w:tr>
      <w:tr w:rsidR="6842DACE" w:rsidTr="4742BD16" w14:paraId="79DD40B2">
        <w:trPr>
          <w:trHeight w:val="1600"/>
        </w:trPr>
        <w:tc>
          <w:tcPr>
            <w:tcW w:w="14526" w:type="dxa"/>
            <w:tcMar/>
          </w:tcPr>
          <w:p w:rsidR="575F7FCF" w:rsidP="6842DACE" w:rsidRDefault="575F7FCF" w14:paraId="0DE23CA3" w14:textId="1E12BCBB">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7318D813" w:rsidR="3F2426D8">
              <w:rPr>
                <w:rFonts w:ascii="Calibri" w:hAnsi="Calibri" w:eastAsia="Calibri" w:cs="Calibri"/>
                <w:b w:val="1"/>
                <w:bCs w:val="1"/>
                <w:color w:val="000000" w:themeColor="text1" w:themeTint="FF" w:themeShade="FF"/>
                <w:sz w:val="24"/>
                <w:szCs w:val="24"/>
              </w:rPr>
              <w:t xml:space="preserve">10. </w:t>
            </w:r>
            <w:r w:rsidRPr="7318D813" w:rsidR="3F2426D8">
              <w:rPr>
                <w:rFonts w:ascii="Calibri" w:hAnsi="Calibri" w:eastAsia="Calibri" w:cs="Calibri"/>
                <w:b w:val="1"/>
                <w:bCs w:val="1"/>
                <w:color w:val="000000" w:themeColor="text1" w:themeTint="FF" w:themeShade="FF"/>
                <w:sz w:val="24"/>
                <w:szCs w:val="24"/>
                <w:highlight w:val="yellow"/>
              </w:rPr>
              <w:t>What changes/improvements were made or will be made in response to the outcomes of the assessment process?</w:t>
            </w:r>
          </w:p>
          <w:p w:rsidR="6842DACE" w:rsidP="6842DACE" w:rsidRDefault="6842DACE" w14:paraId="643DAA9E" w14:textId="1FAF7BF8">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4742BD16" w:rsidR="1325E4F3">
              <w:rPr>
                <w:rFonts w:ascii="Calibri" w:hAnsi="Calibri" w:eastAsia="Calibri" w:cs="Calibri"/>
                <w:b w:val="1"/>
                <w:bCs w:val="1"/>
                <w:color w:val="000000" w:themeColor="text1" w:themeTint="FF" w:themeShade="FF"/>
                <w:sz w:val="24"/>
                <w:szCs w:val="24"/>
              </w:rPr>
              <w:t xml:space="preserve">The updated Arizona test committee will be meeting in Spring 2024. Professor Potts will serve on the re-write committee to build an </w:t>
            </w:r>
            <w:r w:rsidRPr="4742BD16" w:rsidR="107DE870">
              <w:rPr>
                <w:rFonts w:ascii="Calibri" w:hAnsi="Calibri" w:eastAsia="Calibri" w:cs="Calibri"/>
                <w:b w:val="1"/>
                <w:bCs w:val="1"/>
                <w:color w:val="000000" w:themeColor="text1" w:themeTint="FF" w:themeShade="FF"/>
                <w:sz w:val="24"/>
                <w:szCs w:val="24"/>
              </w:rPr>
              <w:t xml:space="preserve">updated version of the test.  </w:t>
            </w:r>
            <w:r>
              <w:br/>
            </w:r>
          </w:p>
          <w:p w:rsidR="6842DACE" w:rsidP="6842DACE" w:rsidRDefault="6842DACE" w14:paraId="7A9C047A" w14:textId="4C3F7E37">
            <w:pPr>
              <w:rPr>
                <w:rFonts w:ascii="Times New Roman" w:hAnsi="Times New Roman" w:eastAsia="Times New Roman" w:cs="Times New Roman"/>
                <w:color w:val="000000" w:themeColor="text1" w:themeTint="FF" w:themeShade="FF"/>
                <w:sz w:val="30"/>
                <w:szCs w:val="30"/>
              </w:rPr>
            </w:pPr>
            <w:r w:rsidRPr="4742BD16" w:rsidR="09DBB38D">
              <w:rPr>
                <w:rFonts w:ascii="Times New Roman" w:hAnsi="Times New Roman" w:eastAsia="Times New Roman" w:cs="Times New Roman"/>
                <w:color w:val="000000" w:themeColor="text1" w:themeTint="FF" w:themeShade="FF"/>
                <w:sz w:val="30"/>
                <w:szCs w:val="30"/>
              </w:rPr>
              <w:t xml:space="preserve">We will </w:t>
            </w:r>
            <w:r w:rsidRPr="4742BD16" w:rsidR="09DBB38D">
              <w:rPr>
                <w:rFonts w:ascii="Times New Roman" w:hAnsi="Times New Roman" w:eastAsia="Times New Roman" w:cs="Times New Roman"/>
                <w:color w:val="000000" w:themeColor="text1" w:themeTint="FF" w:themeShade="FF"/>
                <w:sz w:val="30"/>
                <w:szCs w:val="30"/>
              </w:rPr>
              <w:t>look into</w:t>
            </w:r>
            <w:r w:rsidRPr="4742BD16" w:rsidR="09DBB38D">
              <w:rPr>
                <w:rFonts w:ascii="Times New Roman" w:hAnsi="Times New Roman" w:eastAsia="Times New Roman" w:cs="Times New Roman"/>
                <w:color w:val="000000" w:themeColor="text1" w:themeTint="FF" w:themeShade="FF"/>
                <w:sz w:val="30"/>
                <w:szCs w:val="30"/>
              </w:rPr>
              <w:t xml:space="preserve"> building a practice test that students can take in Fall before the larger test in spring. </w:t>
            </w:r>
          </w:p>
          <w:p w:rsidR="6842DACE" w:rsidP="6842DACE" w:rsidRDefault="6842DACE" w14:paraId="21C70689" w14:textId="07E1E5D4">
            <w:pPr>
              <w:rPr>
                <w:rFonts w:ascii="Times New Roman" w:hAnsi="Times New Roman" w:eastAsia="Times New Roman" w:cs="Times New Roman"/>
                <w:color w:val="000000" w:themeColor="text1" w:themeTint="FF" w:themeShade="FF"/>
                <w:sz w:val="30"/>
                <w:szCs w:val="30"/>
              </w:rPr>
            </w:pPr>
          </w:p>
          <w:p w:rsidR="6842DACE" w:rsidP="6842DACE" w:rsidRDefault="6842DACE" w14:paraId="1B1F9890" w14:textId="4CA8EA3E">
            <w:pPr>
              <w:rPr>
                <w:rFonts w:ascii="Times New Roman" w:hAnsi="Times New Roman" w:eastAsia="Times New Roman" w:cs="Times New Roman"/>
                <w:color w:val="000000" w:themeColor="text1" w:themeTint="FF" w:themeShade="FF"/>
                <w:sz w:val="30"/>
                <w:szCs w:val="30"/>
              </w:rPr>
            </w:pP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4742BD16" w14:paraId="5319E1EA">
        <w:trPr>
          <w:trHeight w:val="1600"/>
        </w:trPr>
        <w:tc>
          <w:tcPr>
            <w:tcW w:w="14526" w:type="dxa"/>
            <w:tcMar/>
          </w:tcPr>
          <w:p w:rsidR="4AB298DD" w:rsidP="1C63BD36" w:rsidRDefault="4AB298DD" w14:paraId="297B4420" w14:textId="56229443">
            <w:pPr>
              <w:pStyle w:val="Normal"/>
              <w:rPr>
                <w:b w:val="1"/>
                <w:bCs w:val="1"/>
              </w:rPr>
            </w:pPr>
            <w:r w:rsidRPr="1C63BD36" w:rsidR="4AB298DD">
              <w:rPr>
                <w:b w:val="1"/>
                <w:bCs w:val="1"/>
              </w:rPr>
              <w:t>Additional Comments or feedback on the Assessment Process (Optional):</w:t>
            </w:r>
          </w:p>
          <w:p w:rsidR="4AB298DD" w:rsidP="1C63BD36" w:rsidRDefault="4AB298DD" w14:paraId="0896F0C7" w14:textId="63A99004">
            <w:pPr>
              <w:pStyle w:val="Normal"/>
              <w:rPr>
                <w:b w:val="1"/>
                <w:bCs w:val="1"/>
              </w:rPr>
            </w:pPr>
          </w:p>
          <w:p w:rsidR="4AB298DD" w:rsidP="1C63BD36" w:rsidRDefault="4AB298DD" w14:paraId="0F575EE7" w14:textId="087B8F87">
            <w:pPr>
              <w:pStyle w:val="Normal"/>
              <w:rPr>
                <w:b w:val="1"/>
                <w:bCs w:val="1"/>
              </w:rPr>
            </w:pPr>
            <w:r w:rsidRPr="1C63BD36" w:rsidR="39FF62D7">
              <w:rPr>
                <w:b w:val="1"/>
                <w:bCs w:val="1"/>
              </w:rPr>
              <w:t>The students tested from Central Arizona College averaged the top Score in Arizona.</w:t>
            </w:r>
          </w:p>
          <w:p w:rsidR="4AB298DD" w:rsidP="6842DACE" w:rsidRDefault="4AB298DD" w14:paraId="5F4EAFD9" w14:textId="57EB176D">
            <w:pPr>
              <w:pStyle w:val="Normal"/>
            </w:pPr>
            <w:r w:rsidR="39FF62D7">
              <w:drawing>
                <wp:inline wp14:editId="3511F032" wp14:anchorId="3C6C1E3F">
                  <wp:extent cx="6296025" cy="1455956"/>
                  <wp:effectExtent l="0" t="0" r="0" b="0"/>
                  <wp:docPr id="1299995112" name="" title=""/>
                  <wp:cNvGraphicFramePr>
                    <a:graphicFrameLocks noChangeAspect="1"/>
                  </wp:cNvGraphicFramePr>
                  <a:graphic>
                    <a:graphicData uri="http://schemas.openxmlformats.org/drawingml/2006/picture">
                      <pic:pic>
                        <pic:nvPicPr>
                          <pic:cNvPr id="0" name=""/>
                          <pic:cNvPicPr/>
                        </pic:nvPicPr>
                        <pic:blipFill>
                          <a:blip r:embed="Rb8a14a932b2d4691">
                            <a:extLst>
                              <a:ext xmlns:a="http://schemas.openxmlformats.org/drawingml/2006/main" uri="{28A0092B-C50C-407E-A947-70E740481C1C}">
                                <a14:useLocalDpi val="0"/>
                              </a:ext>
                            </a:extLst>
                          </a:blip>
                          <a:stretch>
                            <a:fillRect/>
                          </a:stretch>
                        </pic:blipFill>
                        <pic:spPr>
                          <a:xfrm>
                            <a:off x="0" y="0"/>
                            <a:ext cx="6296025" cy="1455956"/>
                          </a:xfrm>
                          <a:prstGeom prst="rect">
                            <a:avLst/>
                          </a:prstGeom>
                        </pic:spPr>
                      </pic:pic>
                    </a:graphicData>
                  </a:graphic>
                </wp:inline>
              </w:drawing>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http://schemas.openxmlformats.org/wordprocessingml/2006/main">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758817"/>
    <w:rsid w:val="0090BF6A"/>
    <w:rsid w:val="01E99B7F"/>
    <w:rsid w:val="02156138"/>
    <w:rsid w:val="0250B46B"/>
    <w:rsid w:val="0250B46B"/>
    <w:rsid w:val="0281A494"/>
    <w:rsid w:val="02C2E7AA"/>
    <w:rsid w:val="02DFDA74"/>
    <w:rsid w:val="0300AF5F"/>
    <w:rsid w:val="0300AF5F"/>
    <w:rsid w:val="031C2A76"/>
    <w:rsid w:val="0342B25E"/>
    <w:rsid w:val="049C7FC0"/>
    <w:rsid w:val="04A6C242"/>
    <w:rsid w:val="04CE230B"/>
    <w:rsid w:val="04E8A730"/>
    <w:rsid w:val="05C390A9"/>
    <w:rsid w:val="05CC1E94"/>
    <w:rsid w:val="0639F68C"/>
    <w:rsid w:val="06AA9AF6"/>
    <w:rsid w:val="06C50F1F"/>
    <w:rsid w:val="070D2A87"/>
    <w:rsid w:val="08148FC2"/>
    <w:rsid w:val="09C2FB7B"/>
    <w:rsid w:val="09DBB38D"/>
    <w:rsid w:val="0B4DB1C8"/>
    <w:rsid w:val="0B6B6B02"/>
    <w:rsid w:val="0BAB019D"/>
    <w:rsid w:val="0BBEDE8B"/>
    <w:rsid w:val="0BFA5D98"/>
    <w:rsid w:val="0BFA5D98"/>
    <w:rsid w:val="0C962565"/>
    <w:rsid w:val="0CE068A2"/>
    <w:rsid w:val="0D82F6F1"/>
    <w:rsid w:val="0DA3C950"/>
    <w:rsid w:val="0EBB4287"/>
    <w:rsid w:val="0EFB85CE"/>
    <w:rsid w:val="0F9E6B9D"/>
    <w:rsid w:val="0FAC07B7"/>
    <w:rsid w:val="10196E29"/>
    <w:rsid w:val="106FDF48"/>
    <w:rsid w:val="107DE870"/>
    <w:rsid w:val="1084FBC5"/>
    <w:rsid w:val="10B7EA6D"/>
    <w:rsid w:val="119E6B65"/>
    <w:rsid w:val="11AAB9A7"/>
    <w:rsid w:val="11FA0643"/>
    <w:rsid w:val="12551230"/>
    <w:rsid w:val="1288ED02"/>
    <w:rsid w:val="1325E4F3"/>
    <w:rsid w:val="138CF20D"/>
    <w:rsid w:val="13A983BF"/>
    <w:rsid w:val="13EE1FF2"/>
    <w:rsid w:val="1427A87A"/>
    <w:rsid w:val="144F379B"/>
    <w:rsid w:val="152427AA"/>
    <w:rsid w:val="15A6667D"/>
    <w:rsid w:val="15ED618E"/>
    <w:rsid w:val="16E3DC41"/>
    <w:rsid w:val="16EB46CC"/>
    <w:rsid w:val="1719583D"/>
    <w:rsid w:val="1750B033"/>
    <w:rsid w:val="181AD742"/>
    <w:rsid w:val="187CF4E2"/>
    <w:rsid w:val="1889CF1F"/>
    <w:rsid w:val="18FB199D"/>
    <w:rsid w:val="191136F3"/>
    <w:rsid w:val="19250250"/>
    <w:rsid w:val="197410F5"/>
    <w:rsid w:val="19766530"/>
    <w:rsid w:val="19954EC6"/>
    <w:rsid w:val="1A0253F6"/>
    <w:rsid w:val="1A9307F0"/>
    <w:rsid w:val="1AB64154"/>
    <w:rsid w:val="1B4766A9"/>
    <w:rsid w:val="1B9E2457"/>
    <w:rsid w:val="1C63BD36"/>
    <w:rsid w:val="1CAE05F2"/>
    <w:rsid w:val="1CCBA33F"/>
    <w:rsid w:val="1CCBA33F"/>
    <w:rsid w:val="1DC1FB46"/>
    <w:rsid w:val="1E1F3F5B"/>
    <w:rsid w:val="1E52A8F3"/>
    <w:rsid w:val="1E760A78"/>
    <w:rsid w:val="1EF77D0C"/>
    <w:rsid w:val="1FF783B4"/>
    <w:rsid w:val="20236702"/>
    <w:rsid w:val="21D8D7DC"/>
    <w:rsid w:val="223A02A9"/>
    <w:rsid w:val="2244CD11"/>
    <w:rsid w:val="2251D6FF"/>
    <w:rsid w:val="238E5920"/>
    <w:rsid w:val="242D9662"/>
    <w:rsid w:val="251CC5CE"/>
    <w:rsid w:val="252E0F14"/>
    <w:rsid w:val="262AE455"/>
    <w:rsid w:val="27F3FDD3"/>
    <w:rsid w:val="28E0D708"/>
    <w:rsid w:val="28EF1774"/>
    <w:rsid w:val="29A2C5A4"/>
    <w:rsid w:val="29CBAD68"/>
    <w:rsid w:val="29F036F1"/>
    <w:rsid w:val="2A157F05"/>
    <w:rsid w:val="2A80E26A"/>
    <w:rsid w:val="2AF40906"/>
    <w:rsid w:val="2B4EC63E"/>
    <w:rsid w:val="2C1957D9"/>
    <w:rsid w:val="2C7B59E5"/>
    <w:rsid w:val="2CF4E7FF"/>
    <w:rsid w:val="2D202CE4"/>
    <w:rsid w:val="2D7899A0"/>
    <w:rsid w:val="2F0A47B6"/>
    <w:rsid w:val="2F318F82"/>
    <w:rsid w:val="2F3A94B3"/>
    <w:rsid w:val="2F3FFC01"/>
    <w:rsid w:val="2F50F89B"/>
    <w:rsid w:val="2F5231B6"/>
    <w:rsid w:val="2F684DD3"/>
    <w:rsid w:val="2F73C078"/>
    <w:rsid w:val="301A4DC2"/>
    <w:rsid w:val="307A70D7"/>
    <w:rsid w:val="31790165"/>
    <w:rsid w:val="32164138"/>
    <w:rsid w:val="32E6F90A"/>
    <w:rsid w:val="33216FC5"/>
    <w:rsid w:val="333D8D72"/>
    <w:rsid w:val="33656D15"/>
    <w:rsid w:val="337826CB"/>
    <w:rsid w:val="3398EA37"/>
    <w:rsid w:val="342FA684"/>
    <w:rsid w:val="34349084"/>
    <w:rsid w:val="35023A4B"/>
    <w:rsid w:val="3534E0E3"/>
    <w:rsid w:val="353E841A"/>
    <w:rsid w:val="354DE1FA"/>
    <w:rsid w:val="35A663F0"/>
    <w:rsid w:val="36246AFA"/>
    <w:rsid w:val="364C364A"/>
    <w:rsid w:val="36FC313E"/>
    <w:rsid w:val="37FF5B03"/>
    <w:rsid w:val="38F68592"/>
    <w:rsid w:val="39FF62D7"/>
    <w:rsid w:val="3A4CFA5D"/>
    <w:rsid w:val="3BC481C9"/>
    <w:rsid w:val="3D1B07DC"/>
    <w:rsid w:val="3D3057CB"/>
    <w:rsid w:val="3D3E743F"/>
    <w:rsid w:val="3D5F24A2"/>
    <w:rsid w:val="3DD0A6B8"/>
    <w:rsid w:val="3E59CD69"/>
    <w:rsid w:val="3E80A3CD"/>
    <w:rsid w:val="3EC26894"/>
    <w:rsid w:val="3F1712B0"/>
    <w:rsid w:val="3F2426D8"/>
    <w:rsid w:val="3F35A49B"/>
    <w:rsid w:val="3F58B60A"/>
    <w:rsid w:val="3FD61C79"/>
    <w:rsid w:val="3FE78B14"/>
    <w:rsid w:val="415036D5"/>
    <w:rsid w:val="417F1A6F"/>
    <w:rsid w:val="41BD2463"/>
    <w:rsid w:val="41DCFB77"/>
    <w:rsid w:val="42235182"/>
    <w:rsid w:val="423EE3E5"/>
    <w:rsid w:val="42DF9C40"/>
    <w:rsid w:val="435EAE31"/>
    <w:rsid w:val="43B5E520"/>
    <w:rsid w:val="4414DD4C"/>
    <w:rsid w:val="449252AA"/>
    <w:rsid w:val="44AB3E6B"/>
    <w:rsid w:val="44F86E84"/>
    <w:rsid w:val="45188310"/>
    <w:rsid w:val="454F8027"/>
    <w:rsid w:val="456BC464"/>
    <w:rsid w:val="4594053B"/>
    <w:rsid w:val="45FBABFC"/>
    <w:rsid w:val="464549B8"/>
    <w:rsid w:val="46728D55"/>
    <w:rsid w:val="4675B62E"/>
    <w:rsid w:val="4742BD16"/>
    <w:rsid w:val="476723E7"/>
    <w:rsid w:val="47BF7859"/>
    <w:rsid w:val="4863492D"/>
    <w:rsid w:val="48DE8D77"/>
    <w:rsid w:val="495B48BA"/>
    <w:rsid w:val="49A1E85C"/>
    <w:rsid w:val="49AADAF1"/>
    <w:rsid w:val="49AADAF1"/>
    <w:rsid w:val="49CAE046"/>
    <w:rsid w:val="4A2B4418"/>
    <w:rsid w:val="4AB298DD"/>
    <w:rsid w:val="4B1BACFB"/>
    <w:rsid w:val="4B40B7CB"/>
    <w:rsid w:val="4BA8C218"/>
    <w:rsid w:val="4CC24EEF"/>
    <w:rsid w:val="4D09B59A"/>
    <w:rsid w:val="4D21731E"/>
    <w:rsid w:val="4D42E470"/>
    <w:rsid w:val="4D6E5800"/>
    <w:rsid w:val="4DBD9A0A"/>
    <w:rsid w:val="4E2A5AE9"/>
    <w:rsid w:val="4E5C3122"/>
    <w:rsid w:val="4EDA55DD"/>
    <w:rsid w:val="4F570236"/>
    <w:rsid w:val="4F70FE79"/>
    <w:rsid w:val="4F7A00C2"/>
    <w:rsid w:val="4F7E47E1"/>
    <w:rsid w:val="4FB394A2"/>
    <w:rsid w:val="509B0464"/>
    <w:rsid w:val="50BAE100"/>
    <w:rsid w:val="519CD750"/>
    <w:rsid w:val="51DC8888"/>
    <w:rsid w:val="51F4E441"/>
    <w:rsid w:val="5266FB34"/>
    <w:rsid w:val="53052F57"/>
    <w:rsid w:val="5326C679"/>
    <w:rsid w:val="535B96A4"/>
    <w:rsid w:val="53ADC700"/>
    <w:rsid w:val="5403AB9F"/>
    <w:rsid w:val="5489ED7F"/>
    <w:rsid w:val="557CE769"/>
    <w:rsid w:val="561E264A"/>
    <w:rsid w:val="56C85564"/>
    <w:rsid w:val="575F7FCF"/>
    <w:rsid w:val="578A2314"/>
    <w:rsid w:val="57B8141C"/>
    <w:rsid w:val="58623BE7"/>
    <w:rsid w:val="59184473"/>
    <w:rsid w:val="593CFB5B"/>
    <w:rsid w:val="5953E47D"/>
    <w:rsid w:val="599295A9"/>
    <w:rsid w:val="59B88C33"/>
    <w:rsid w:val="5A28BE4D"/>
    <w:rsid w:val="5A2B626C"/>
    <w:rsid w:val="5A79D88A"/>
    <w:rsid w:val="5BBC5178"/>
    <w:rsid w:val="5C43A28C"/>
    <w:rsid w:val="5C55B879"/>
    <w:rsid w:val="5CA7FC01"/>
    <w:rsid w:val="5CFFE029"/>
    <w:rsid w:val="5D3B8033"/>
    <w:rsid w:val="5E6ED260"/>
    <w:rsid w:val="5E8C7544"/>
    <w:rsid w:val="5EA9CECB"/>
    <w:rsid w:val="5EC06772"/>
    <w:rsid w:val="5F432680"/>
    <w:rsid w:val="5FCC4BC2"/>
    <w:rsid w:val="5FD1B43F"/>
    <w:rsid w:val="602132F4"/>
    <w:rsid w:val="6044A30D"/>
    <w:rsid w:val="607EE911"/>
    <w:rsid w:val="6080D983"/>
    <w:rsid w:val="60F72DCB"/>
    <w:rsid w:val="61175E53"/>
    <w:rsid w:val="6162FA9D"/>
    <w:rsid w:val="61DEF38A"/>
    <w:rsid w:val="62A92735"/>
    <w:rsid w:val="62CE059E"/>
    <w:rsid w:val="6302B4FF"/>
    <w:rsid w:val="639076F6"/>
    <w:rsid w:val="6394647A"/>
    <w:rsid w:val="63E3250A"/>
    <w:rsid w:val="64B9A8B2"/>
    <w:rsid w:val="64D312A9"/>
    <w:rsid w:val="64E882A9"/>
    <w:rsid w:val="654CE90D"/>
    <w:rsid w:val="6605A660"/>
    <w:rsid w:val="6628D97A"/>
    <w:rsid w:val="6754B86D"/>
    <w:rsid w:val="67DAC35B"/>
    <w:rsid w:val="6808DDA7"/>
    <w:rsid w:val="6842DACE"/>
    <w:rsid w:val="688489CF"/>
    <w:rsid w:val="68D81D4A"/>
    <w:rsid w:val="6900AC05"/>
    <w:rsid w:val="691B2B83"/>
    <w:rsid w:val="6971F683"/>
    <w:rsid w:val="6A03A5FE"/>
    <w:rsid w:val="6A6FC13A"/>
    <w:rsid w:val="6B843950"/>
    <w:rsid w:val="6C996DBA"/>
    <w:rsid w:val="6CAF9E0D"/>
    <w:rsid w:val="6CE30EB5"/>
    <w:rsid w:val="6CF1E666"/>
    <w:rsid w:val="6CF3C25D"/>
    <w:rsid w:val="6D16C92A"/>
    <w:rsid w:val="6D2C9C54"/>
    <w:rsid w:val="6DD0FD9A"/>
    <w:rsid w:val="6DE238E4"/>
    <w:rsid w:val="6E2BE974"/>
    <w:rsid w:val="6E40437F"/>
    <w:rsid w:val="6E62D722"/>
    <w:rsid w:val="6E81602A"/>
    <w:rsid w:val="6FBFF831"/>
    <w:rsid w:val="6FF566F6"/>
    <w:rsid w:val="701DE696"/>
    <w:rsid w:val="70F85D9E"/>
    <w:rsid w:val="717D07B2"/>
    <w:rsid w:val="71A676D2"/>
    <w:rsid w:val="72333350"/>
    <w:rsid w:val="723CEE85"/>
    <w:rsid w:val="72752A4F"/>
    <w:rsid w:val="7287D17F"/>
    <w:rsid w:val="728B5955"/>
    <w:rsid w:val="7318D813"/>
    <w:rsid w:val="73C8E369"/>
    <w:rsid w:val="742ED1FD"/>
    <w:rsid w:val="7433515D"/>
    <w:rsid w:val="74BAFF69"/>
    <w:rsid w:val="753A584B"/>
    <w:rsid w:val="7549AB49"/>
    <w:rsid w:val="76643034"/>
    <w:rsid w:val="76E57F5E"/>
    <w:rsid w:val="76EA168C"/>
    <w:rsid w:val="77844DBA"/>
    <w:rsid w:val="77C1B132"/>
    <w:rsid w:val="781566E5"/>
    <w:rsid w:val="781E2025"/>
    <w:rsid w:val="7926FD74"/>
    <w:rsid w:val="7933FE0A"/>
    <w:rsid w:val="79F211BC"/>
    <w:rsid w:val="7A092719"/>
    <w:rsid w:val="7A155FCD"/>
    <w:rsid w:val="7ACF2191"/>
    <w:rsid w:val="7B063D91"/>
    <w:rsid w:val="7BE22A8E"/>
    <w:rsid w:val="7D0AEA3A"/>
    <w:rsid w:val="7D9A55A5"/>
    <w:rsid w:val="7DB37E02"/>
    <w:rsid w:val="7E2EC995"/>
    <w:rsid w:val="7F1D16D9"/>
    <w:rsid w:val="7FAEB94B"/>
    <w:rsid w:val="7FB75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3.png" Id="R1bba78f7ffb44afa" /><Relationship Type="http://schemas.openxmlformats.org/officeDocument/2006/relationships/numbering" Target="numbering.xml" Id="R97e438950c99414e" /><Relationship Type="http://schemas.openxmlformats.org/officeDocument/2006/relationships/image" Target="/media/image4.png" Id="Rd8ae262774ae401e" /><Relationship Type="http://schemas.openxmlformats.org/officeDocument/2006/relationships/image" Target="/media/image5.png" Id="R71e1e09ec7034220" /><Relationship Type="http://schemas.openxmlformats.org/officeDocument/2006/relationships/image" Target="/media/image6.png" Id="Ra7f86662b86940ee" /><Relationship Type="http://schemas.openxmlformats.org/officeDocument/2006/relationships/image" Target="/media/image7.png" Id="Rb00e0d06e4af42fe" /><Relationship Type="http://schemas.openxmlformats.org/officeDocument/2006/relationships/image" Target="/media/image8.png" Id="Rc6244f06105341a1" /><Relationship Type="http://schemas.openxmlformats.org/officeDocument/2006/relationships/image" Target="/media/image9.png" Id="Rbcff74c3871547cc" /><Relationship Type="http://schemas.openxmlformats.org/officeDocument/2006/relationships/image" Target="/media/imagea.png" Id="R282360092b984526" /><Relationship Type="http://schemas.openxmlformats.org/officeDocument/2006/relationships/image" Target="/media/imageb.png" Id="Ra71f3a1677de428b" /><Relationship Type="http://schemas.openxmlformats.org/officeDocument/2006/relationships/image" Target="/media/imagec.png" Id="R82bf962ad62f480e" /><Relationship Type="http://schemas.openxmlformats.org/officeDocument/2006/relationships/image" Target="/media/imaged.png" Id="Re4c6cf0b7131405b" /><Relationship Type="http://schemas.openxmlformats.org/officeDocument/2006/relationships/image" Target="/media/imagee.png" Id="Rc201006c9c8b4c51" /><Relationship Type="http://schemas.openxmlformats.org/officeDocument/2006/relationships/image" Target="/media/imagef.png" Id="Rdc42484fa3724818" /><Relationship Type="http://schemas.openxmlformats.org/officeDocument/2006/relationships/image" Target="/media/image10.png" Id="Rb8a14a932b2d46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Mary Kieser</DisplayName>
        <AccountId>12</AccountId>
        <AccountType/>
      </UserInfo>
      <UserInfo>
        <DisplayName>Hugo Steincamp</DisplayName>
        <AccountId>16</AccountId>
        <AccountType/>
      </UserInfo>
      <UserInfo>
        <DisplayName>Mary K. Gilliland</DisplayName>
        <AccountId>19</AccountId>
        <AccountType/>
      </UserInfo>
      <UserInfo>
        <DisplayName>Amanda Potts</DisplayName>
        <AccountId>11</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C266EDB4-2A43-4CAF-BBF7-49E202ECB386}"/>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16</cp:revision>
  <dcterms:created xsi:type="dcterms:W3CDTF">2021-10-06T21:32:00Z</dcterms:created>
  <dcterms:modified xsi:type="dcterms:W3CDTF">2023-11-13T21:45:07Z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