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863492D" w:rsidP="602132F4" w:rsidRDefault="4863492D" w14:paraId="39461367" w14:textId="17223BFA">
      <w:pPr>
        <w:pStyle w:val="Normal"/>
      </w:pPr>
      <w:r w:rsidR="4863492D">
        <w:drawing>
          <wp:inline wp14:editId="602132F4" wp14:anchorId="762F0A3A">
            <wp:extent cx="9134475" cy="951508"/>
            <wp:effectExtent l="0" t="0" r="0" b="0"/>
            <wp:docPr id="2084133600" name="" title=""/>
            <wp:cNvGraphicFramePr>
              <a:graphicFrameLocks noChangeAspect="1"/>
            </wp:cNvGraphicFramePr>
            <a:graphic>
              <a:graphicData uri="http://schemas.openxmlformats.org/drawingml/2006/picture">
                <pic:pic>
                  <pic:nvPicPr>
                    <pic:cNvPr id="0" name=""/>
                    <pic:cNvPicPr/>
                  </pic:nvPicPr>
                  <pic:blipFill>
                    <a:blip r:embed="R3a838767832b4a70">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14526" w:type="dxa"/>
        <w:tblLayout w:type="fixed"/>
        <w:tblLook w:val="06A0" w:firstRow="1" w:lastRow="0" w:firstColumn="1" w:lastColumn="0" w:noHBand="1" w:noVBand="1"/>
      </w:tblPr>
      <w:tblGrid>
        <w:gridCol w:w="14526"/>
      </w:tblGrid>
      <w:tr w:rsidR="000BC967" w:rsidTr="51566D8D" w14:paraId="4261E927" w14:textId="77777777">
        <w:tc>
          <w:tcPr>
            <w:tcW w:w="14526" w:type="dxa"/>
            <w:shd w:val="clear" w:color="auto" w:fill="385623" w:themeFill="accent6" w:themeFillShade="80"/>
            <w:tcMar/>
          </w:tcPr>
          <w:p w:rsidR="7BE22A8E" w:rsidP="427B8A3C" w:rsidRDefault="7BE22A8E" w14:paraId="58F06055" w14:textId="526BD234">
            <w:pPr>
              <w:spacing w:line="259" w:lineRule="auto"/>
              <w:jc w:val="center"/>
              <w:rPr>
                <w:b w:val="1"/>
                <w:bCs w:val="1"/>
                <w:sz w:val="44"/>
                <w:szCs w:val="44"/>
              </w:rPr>
            </w:pPr>
            <w:r w:rsidRPr="3DBBD670" w:rsidR="12F289BF">
              <w:rPr>
                <w:b w:val="1"/>
                <w:bCs w:val="1"/>
                <w:sz w:val="44"/>
                <w:szCs w:val="44"/>
              </w:rPr>
              <w:t xml:space="preserve">Health Careers: </w:t>
            </w:r>
            <w:r w:rsidRPr="3DBBD670" w:rsidR="181059B0">
              <w:rPr>
                <w:b w:val="1"/>
                <w:bCs w:val="1"/>
                <w:sz w:val="44"/>
                <w:szCs w:val="44"/>
              </w:rPr>
              <w:t xml:space="preserve">Health </w:t>
            </w:r>
            <w:r w:rsidRPr="3DBBD670" w:rsidR="181059B0">
              <w:rPr>
                <w:b w:val="1"/>
                <w:bCs w:val="1"/>
                <w:sz w:val="44"/>
                <w:szCs w:val="44"/>
              </w:rPr>
              <w:t>Information</w:t>
            </w:r>
            <w:r w:rsidRPr="3DBBD670" w:rsidR="181059B0">
              <w:rPr>
                <w:b w:val="1"/>
                <w:bCs w:val="1"/>
                <w:sz w:val="44"/>
                <w:szCs w:val="44"/>
              </w:rPr>
              <w:t xml:space="preserve"> Management </w:t>
            </w:r>
          </w:p>
          <w:p w:rsidR="7BE22A8E" w:rsidP="000BC967" w:rsidRDefault="7BE22A8E" w14:paraId="69C96B56" w14:textId="266EF34D">
            <w:pPr>
              <w:spacing w:line="259" w:lineRule="auto"/>
              <w:jc w:val="center"/>
              <w:rPr>
                <w:b w:val="1"/>
                <w:bCs w:val="1"/>
                <w:sz w:val="44"/>
                <w:szCs w:val="44"/>
              </w:rPr>
            </w:pPr>
            <w:r w:rsidRPr="427B8A3C" w:rsidR="12F289BF">
              <w:rPr>
                <w:b w:val="1"/>
                <w:bCs w:val="1"/>
                <w:sz w:val="44"/>
                <w:szCs w:val="44"/>
              </w:rPr>
              <w:t>2</w:t>
            </w:r>
            <w:r w:rsidRPr="427B8A3C" w:rsidR="7BE22A8E">
              <w:rPr>
                <w:b w:val="1"/>
                <w:bCs w:val="1"/>
                <w:sz w:val="44"/>
                <w:szCs w:val="44"/>
              </w:rPr>
              <w:t>02</w:t>
            </w:r>
            <w:r w:rsidRPr="427B8A3C" w:rsidR="5E8C7544">
              <w:rPr>
                <w:b w:val="1"/>
                <w:bCs w:val="1"/>
                <w:sz w:val="44"/>
                <w:szCs w:val="44"/>
              </w:rPr>
              <w:t>2</w:t>
            </w:r>
            <w:r w:rsidRPr="427B8A3C" w:rsidR="7BE22A8E">
              <w:rPr>
                <w:b w:val="1"/>
                <w:bCs w:val="1"/>
                <w:sz w:val="44"/>
                <w:szCs w:val="44"/>
              </w:rPr>
              <w:t>-202</w:t>
            </w:r>
            <w:r w:rsidRPr="427B8A3C" w:rsidR="60F72DCB">
              <w:rPr>
                <w:b w:val="1"/>
                <w:bCs w:val="1"/>
                <w:sz w:val="44"/>
                <w:szCs w:val="44"/>
              </w:rPr>
              <w:t>3</w:t>
            </w:r>
            <w:r w:rsidRPr="427B8A3C" w:rsidR="7BE22A8E">
              <w:rPr>
                <w:b w:val="1"/>
                <w:bCs w:val="1"/>
                <w:sz w:val="44"/>
                <w:szCs w:val="44"/>
              </w:rPr>
              <w:t xml:space="preserve"> Assessment Report</w:t>
            </w:r>
          </w:p>
        </w:tc>
      </w:tr>
      <w:tr w:rsidR="7DB37E02" w:rsidTr="51566D8D" w14:paraId="05941C70" w14:textId="77777777">
        <w:trPr/>
        <w:tc>
          <w:tcPr>
            <w:tcW w:w="14526" w:type="dxa"/>
            <w:tcMar/>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000BC967" w:rsidRDefault="63E3250A" w14:paraId="0D5347B7" w14:textId="6F3A553C">
            <w:pPr>
              <w:spacing w:after="160"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 xml:space="preserve">Assessment Reporting Form: </w:t>
            </w:r>
            <w:r w:rsidRPr="000BC967">
              <w:rPr>
                <w:rFonts w:ascii="Calibri" w:hAnsi="Calibri" w:eastAsia="Calibri" w:cs="Calibri"/>
                <w:color w:val="000000" w:themeColor="text1"/>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000BC967">
              <w:rPr>
                <w:rFonts w:ascii="Calibri" w:hAnsi="Calibri" w:eastAsia="Calibri" w:cs="Calibri"/>
                <w:b/>
                <w:bCs/>
                <w:color w:val="000000" w:themeColor="text1"/>
                <w:sz w:val="24"/>
                <w:szCs w:val="24"/>
              </w:rPr>
              <w:t xml:space="preserve">two </w:t>
            </w:r>
            <w:r w:rsidRPr="000BC967">
              <w:rPr>
                <w:rFonts w:ascii="Calibri" w:hAnsi="Calibri" w:eastAsia="Calibri" w:cs="Calibri"/>
                <w:color w:val="000000" w:themeColor="text1"/>
                <w:sz w:val="24"/>
                <w:szCs w:val="24"/>
              </w:rPr>
              <w:t>PLOs OR</w:t>
            </w:r>
            <w:r w:rsidRPr="000BC967">
              <w:rPr>
                <w:rFonts w:ascii="Calibri" w:hAnsi="Calibri" w:eastAsia="Calibri" w:cs="Calibri"/>
                <w:b/>
                <w:bCs/>
                <w:color w:val="000000" w:themeColor="text1"/>
                <w:sz w:val="24"/>
                <w:szCs w:val="24"/>
              </w:rPr>
              <w:t xml:space="preserve"> two</w:t>
            </w:r>
            <w:r w:rsidRPr="000BC967">
              <w:rPr>
                <w:rFonts w:ascii="Calibri" w:hAnsi="Calibri" w:eastAsia="Calibri" w:cs="Calibri"/>
                <w:color w:val="000000" w:themeColor="text1"/>
                <w:sz w:val="24"/>
                <w:szCs w:val="24"/>
              </w:rPr>
              <w:t xml:space="preserve"> MSLOs that contain CSLOs each year.  </w:t>
            </w:r>
          </w:p>
          <w:p w:rsidR="04E8A730" w:rsidP="000BC967" w:rsidRDefault="63E3250A" w14:paraId="576D1BC2" w14:textId="311474B5">
            <w:pPr>
              <w:spacing w:after="160" w:line="259" w:lineRule="auto"/>
              <w:rPr>
                <w:rFonts w:ascii="Calibri" w:hAnsi="Calibri" w:eastAsia="Calibri" w:cs="Calibri"/>
                <w:color w:val="000000" w:themeColor="text1"/>
                <w:sz w:val="24"/>
                <w:szCs w:val="24"/>
              </w:rPr>
            </w:pPr>
            <w:r w:rsidRPr="55C0E444" w:rsidR="63E3250A">
              <w:rPr>
                <w:rFonts w:ascii="Calibri" w:hAnsi="Calibri" w:eastAsia="Calibri" w:cs="Calibri"/>
                <w:color w:val="000000" w:themeColor="text1" w:themeTint="FF" w:themeShade="FF"/>
                <w:sz w:val="24"/>
                <w:szCs w:val="24"/>
              </w:rPr>
              <w:t xml:space="preserve">On the Baseline Assessment Reporting Form, please record the baseline for the percentage of students who are proficient in the student learning outcome(s) assessed and identify improvements that will be made to increase that percentage.  Later, you’ll complete a follow-up assessment (recorded on a Follow-Up Assessment Reporting Form) to ascertain whether the adopted improvements resulted in an increased percentage of students proficient in the assessed learning outcome(s).  </w:t>
            </w:r>
          </w:p>
          <w:p w:rsidR="04E8A730" w:rsidP="55C0E444" w:rsidRDefault="04E8A730" w14:paraId="7CC70936" w14:textId="1A85CC41">
            <w:pPr>
              <w:pStyle w:val="Normal"/>
              <w:jc w:val="center"/>
            </w:pPr>
            <w:r w:rsidR="0A63B8C1">
              <w:drawing>
                <wp:inline wp14:editId="55C0E444" wp14:anchorId="09B47E4B">
                  <wp:extent cx="8162926" cy="1504950"/>
                  <wp:effectExtent l="0" t="0" r="0" b="0"/>
                  <wp:docPr id="427850220" name="" title=""/>
                  <wp:cNvGraphicFramePr>
                    <a:graphicFrameLocks noChangeAspect="1"/>
                  </wp:cNvGraphicFramePr>
                  <a:graphic>
                    <a:graphicData uri="http://schemas.openxmlformats.org/drawingml/2006/picture">
                      <pic:pic>
                        <pic:nvPicPr>
                          <pic:cNvPr id="0" name=""/>
                          <pic:cNvPicPr/>
                        </pic:nvPicPr>
                        <pic:blipFill>
                          <a:blip r:embed="R3103dbfb7a804a71">
                            <a:extLst>
                              <a:ext xmlns:a="http://schemas.openxmlformats.org/drawingml/2006/main" uri="{28A0092B-C50C-407E-A947-70E740481C1C}">
                                <a14:useLocalDpi val="0"/>
                              </a:ext>
                            </a:extLst>
                          </a:blip>
                          <a:stretch>
                            <a:fillRect/>
                          </a:stretch>
                        </pic:blipFill>
                        <pic:spPr>
                          <a:xfrm>
                            <a:off x="0" y="0"/>
                            <a:ext cx="8162926" cy="1504950"/>
                          </a:xfrm>
                          <a:prstGeom prst="rect">
                            <a:avLst/>
                          </a:prstGeom>
                        </pic:spPr>
                      </pic:pic>
                    </a:graphicData>
                  </a:graphic>
                </wp:inline>
              </w:drawing>
            </w:r>
            <w:r>
              <w:br/>
            </w:r>
          </w:p>
        </w:tc>
      </w:tr>
      <w:tr w:rsidR="7DB37E02" w:rsidTr="51566D8D" w14:paraId="3F6BBCF2" w14:textId="77777777">
        <w:trPr/>
        <w:tc>
          <w:tcPr>
            <w:tcW w:w="14526" w:type="dxa"/>
            <w:shd w:val="clear" w:color="auto" w:fill="FFC000" w:themeFill="accent4"/>
            <w:tcMar/>
          </w:tcPr>
          <w:p w:rsidR="2F318F82" w:rsidP="6754B86D" w:rsidRDefault="2F318F82" w14:paraId="2656C218" w14:textId="723B43C1">
            <w:pPr>
              <w:pStyle w:val="Normal"/>
              <w:jc w:val="center"/>
              <w:rPr>
                <w:rFonts w:ascii="Times New Roman" w:hAnsi="Times New Roman" w:eastAsia="Times New Roman" w:cs="Times New Roman"/>
                <w:b w:val="1"/>
                <w:bCs w:val="1"/>
                <w:color w:val="000000" w:themeColor="text1"/>
                <w:sz w:val="30"/>
                <w:szCs w:val="30"/>
              </w:rPr>
            </w:pPr>
            <w:r w:rsidRPr="55C0E444"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55C0E444" w:rsidR="6FF566F6">
              <w:rPr>
                <w:rFonts w:ascii="Times New Roman" w:hAnsi="Times New Roman" w:eastAsia="Times New Roman" w:cs="Times New Roman"/>
                <w:b w:val="1"/>
                <w:bCs w:val="1"/>
                <w:color w:val="000000" w:themeColor="text1" w:themeTint="FF" w:themeShade="FF"/>
                <w:sz w:val="30"/>
                <w:szCs w:val="30"/>
              </w:rPr>
              <w:t xml:space="preserve"> Oct. </w:t>
            </w:r>
            <w:r w:rsidRPr="55C0E444" w:rsidR="4E089A10">
              <w:rPr>
                <w:rFonts w:ascii="Times New Roman" w:hAnsi="Times New Roman" w:eastAsia="Times New Roman" w:cs="Times New Roman"/>
                <w:b w:val="1"/>
                <w:bCs w:val="1"/>
                <w:color w:val="000000" w:themeColor="text1" w:themeTint="FF" w:themeShade="FF"/>
                <w:sz w:val="30"/>
                <w:szCs w:val="30"/>
              </w:rPr>
              <w:t>13</w:t>
            </w:r>
            <w:r w:rsidRPr="55C0E444" w:rsidR="6FF566F6">
              <w:rPr>
                <w:rFonts w:ascii="Times New Roman" w:hAnsi="Times New Roman" w:eastAsia="Times New Roman" w:cs="Times New Roman"/>
                <w:b w:val="1"/>
                <w:bCs w:val="1"/>
                <w:color w:val="000000" w:themeColor="text1" w:themeTint="FF" w:themeShade="FF"/>
                <w:sz w:val="30"/>
                <w:szCs w:val="30"/>
              </w:rPr>
              <w:t>, 202</w:t>
            </w:r>
            <w:r w:rsidRPr="55C0E444" w:rsidR="1719583D">
              <w:rPr>
                <w:rFonts w:ascii="Times New Roman" w:hAnsi="Times New Roman" w:eastAsia="Times New Roman" w:cs="Times New Roman"/>
                <w:b w:val="1"/>
                <w:bCs w:val="1"/>
                <w:color w:val="000000" w:themeColor="text1" w:themeTint="FF" w:themeShade="FF"/>
                <w:sz w:val="30"/>
                <w:szCs w:val="30"/>
              </w:rPr>
              <w:t>2</w:t>
            </w:r>
          </w:p>
        </w:tc>
      </w:tr>
      <w:tr w:rsidR="7DB37E02" w:rsidTr="51566D8D" w14:paraId="58C0C5C4" w14:textId="77777777">
        <w:trPr>
          <w:trHeight w:val="435"/>
        </w:trPr>
        <w:tc>
          <w:tcPr>
            <w:tcW w:w="14526" w:type="dxa"/>
            <w:tcMar/>
          </w:tcPr>
          <w:p w:rsidR="2F318F82" w:rsidP="000BC967" w:rsidRDefault="3F35A49B" w14:paraId="3744B136" w14:textId="41EB32FD">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1. Program name or course name and number</w:t>
            </w:r>
            <w:r w:rsidRPr="000BC967">
              <w:rPr>
                <w:rFonts w:ascii="Calibri" w:hAnsi="Calibri" w:eastAsia="Calibri" w:cs="Calibri"/>
                <w:color w:val="000000" w:themeColor="text1"/>
                <w:sz w:val="24"/>
                <w:szCs w:val="24"/>
              </w:rPr>
              <w:t>:</w:t>
            </w:r>
            <w:r w:rsidRPr="000BC967" w:rsidR="138CF20D">
              <w:rPr>
                <w:rFonts w:ascii="Calibri" w:hAnsi="Calibri" w:eastAsia="Calibri" w:cs="Calibri"/>
                <w:color w:val="000000" w:themeColor="text1"/>
                <w:sz w:val="24"/>
                <w:szCs w:val="24"/>
              </w:rPr>
              <w:t xml:space="preserve"> </w:t>
            </w:r>
          </w:p>
          <w:p w:rsidR="2F318F82" w:rsidP="000BC967" w:rsidRDefault="2F318F82" w14:paraId="058A99B4" w14:textId="77666EF4">
            <w:pPr>
              <w:spacing w:line="259" w:lineRule="auto"/>
              <w:rPr>
                <w:rFonts w:ascii="Calibri" w:hAnsi="Calibri" w:eastAsia="Calibri" w:cs="Calibri"/>
                <w:color w:val="000000" w:themeColor="text1"/>
                <w:sz w:val="24"/>
                <w:szCs w:val="24"/>
              </w:rPr>
            </w:pPr>
            <w:r w:rsidRPr="652B39C6" w:rsidR="436F4BC9">
              <w:rPr>
                <w:rFonts w:ascii="Calibri" w:hAnsi="Calibri" w:eastAsia="Calibri" w:cs="Calibri"/>
                <w:color w:val="000000" w:themeColor="text1" w:themeTint="FF" w:themeShade="FF"/>
                <w:sz w:val="24"/>
                <w:szCs w:val="24"/>
              </w:rPr>
              <w:t>HIM296 Health Information Management Practicum</w:t>
            </w:r>
          </w:p>
        </w:tc>
      </w:tr>
      <w:tr w:rsidR="000BC967" w:rsidTr="51566D8D" w14:paraId="080224C4" w14:textId="77777777">
        <w:trPr>
          <w:trHeight w:val="390"/>
        </w:trPr>
        <w:tc>
          <w:tcPr>
            <w:tcW w:w="14526" w:type="dxa"/>
            <w:tcMar/>
          </w:tcPr>
          <w:p w:rsidR="3F35A49B" w:rsidP="000BC967" w:rsidRDefault="3F35A49B" w14:paraId="15016100" w14:textId="0FAF564C">
            <w:pPr>
              <w:spacing w:line="259" w:lineRule="auto"/>
              <w:rPr>
                <w:rFonts w:ascii="Calibri" w:hAnsi="Calibri" w:eastAsia="Calibri" w:cs="Calibri"/>
                <w:color w:val="000000" w:themeColor="text1"/>
                <w:sz w:val="24"/>
                <w:szCs w:val="24"/>
              </w:rPr>
            </w:pPr>
            <w:r w:rsidRPr="652B39C6" w:rsidR="3F35A49B">
              <w:rPr>
                <w:rFonts w:ascii="Calibri" w:hAnsi="Calibri" w:eastAsia="Calibri" w:cs="Calibri"/>
                <w:b w:val="1"/>
                <w:bCs w:val="1"/>
                <w:color w:val="000000" w:themeColor="text1" w:themeTint="FF" w:themeShade="FF"/>
                <w:sz w:val="24"/>
                <w:szCs w:val="24"/>
              </w:rPr>
              <w:t>2. Division in which the program or course is located</w:t>
            </w:r>
            <w:r w:rsidRPr="652B39C6" w:rsidR="3F35A49B">
              <w:rPr>
                <w:rFonts w:ascii="Calibri" w:hAnsi="Calibri" w:eastAsia="Calibri" w:cs="Calibri"/>
                <w:color w:val="000000" w:themeColor="text1" w:themeTint="FF" w:themeShade="FF"/>
                <w:sz w:val="24"/>
                <w:szCs w:val="24"/>
              </w:rPr>
              <w:t>:</w:t>
            </w:r>
          </w:p>
          <w:p w:rsidR="000BC967" w:rsidP="652B39C6" w:rsidRDefault="000BC967" w14:paraId="1A370810" w14:textId="12CEAB05">
            <w:pPr>
              <w:pStyle w:val="Normal"/>
              <w:spacing w:line="259" w:lineRule="auto"/>
              <w:rPr>
                <w:rFonts w:ascii="Calibri" w:hAnsi="Calibri" w:eastAsia="Calibri" w:cs="Calibri"/>
                <w:color w:val="000000" w:themeColor="text1"/>
                <w:sz w:val="24"/>
                <w:szCs w:val="24"/>
              </w:rPr>
            </w:pPr>
            <w:r w:rsidRPr="652B39C6" w:rsidR="0F161EF1">
              <w:rPr>
                <w:rFonts w:ascii="Calibri" w:hAnsi="Calibri" w:eastAsia="Calibri" w:cs="Calibri"/>
                <w:color w:val="000000" w:themeColor="text1" w:themeTint="FF" w:themeShade="FF"/>
                <w:sz w:val="24"/>
                <w:szCs w:val="24"/>
              </w:rPr>
              <w:t>Health Careers/Allied Health: Health Information Management AAS Degree Program</w:t>
            </w:r>
          </w:p>
        </w:tc>
      </w:tr>
      <w:tr w:rsidR="000BC967" w:rsidTr="51566D8D" w14:paraId="2CEBECC4" w14:textId="77777777">
        <w:trPr>
          <w:trHeight w:val="390"/>
        </w:trPr>
        <w:tc>
          <w:tcPr>
            <w:tcW w:w="14526" w:type="dxa"/>
            <w:tcMar/>
          </w:tcPr>
          <w:p w:rsidR="64E882A9" w:rsidP="000BC967" w:rsidRDefault="64E882A9" w14:paraId="133DE0A3" w14:textId="7BA3B646">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3. Date form completed</w:t>
            </w:r>
            <w:r w:rsidRPr="000BC967">
              <w:rPr>
                <w:rFonts w:ascii="Calibri" w:hAnsi="Calibri" w:eastAsia="Calibri" w:cs="Calibri"/>
                <w:color w:val="000000" w:themeColor="text1"/>
                <w:sz w:val="24"/>
                <w:szCs w:val="24"/>
              </w:rPr>
              <w:t>:</w:t>
            </w:r>
          </w:p>
          <w:p w:rsidR="000BC967" w:rsidP="000BC967" w:rsidRDefault="000BC967" w14:paraId="48B57970" w14:textId="4397141C">
            <w:pPr>
              <w:spacing w:line="259" w:lineRule="auto"/>
              <w:rPr>
                <w:rFonts w:ascii="Calibri" w:hAnsi="Calibri" w:eastAsia="Calibri" w:cs="Calibri"/>
                <w:color w:val="000000" w:themeColor="text1"/>
                <w:sz w:val="24"/>
                <w:szCs w:val="24"/>
              </w:rPr>
            </w:pPr>
            <w:r w:rsidRPr="652B39C6" w:rsidR="3BDAA1B2">
              <w:rPr>
                <w:rFonts w:ascii="Calibri" w:hAnsi="Calibri" w:eastAsia="Calibri" w:cs="Calibri"/>
                <w:color w:val="000000" w:themeColor="text1" w:themeTint="FF" w:themeShade="FF"/>
                <w:sz w:val="24"/>
                <w:szCs w:val="24"/>
              </w:rPr>
              <w:t>October 6, 2022</w:t>
            </w:r>
          </w:p>
        </w:tc>
      </w:tr>
      <w:tr w:rsidR="000BC967" w:rsidTr="51566D8D" w14:paraId="6F13CCC6" w14:textId="77777777">
        <w:trPr>
          <w:trHeight w:val="390"/>
        </w:trPr>
        <w:tc>
          <w:tcPr>
            <w:tcW w:w="14526" w:type="dxa"/>
            <w:tcMar/>
          </w:tcPr>
          <w:p w:rsidR="64E882A9" w:rsidP="652B39C6" w:rsidRDefault="64E882A9" w14:paraId="55C57E49" w14:textId="52D1696B">
            <w:pPr>
              <w:spacing w:line="259" w:lineRule="auto"/>
              <w:rPr>
                <w:rFonts w:ascii="Calibri" w:hAnsi="Calibri" w:eastAsia="Calibri" w:cs="Calibri"/>
                <w:color w:val="000000" w:themeColor="text1" w:themeTint="FF" w:themeShade="FF"/>
                <w:sz w:val="24"/>
                <w:szCs w:val="24"/>
              </w:rPr>
            </w:pPr>
            <w:r w:rsidRPr="652B39C6" w:rsidR="64E882A9">
              <w:rPr>
                <w:rFonts w:ascii="Calibri" w:hAnsi="Calibri" w:eastAsia="Calibri" w:cs="Calibri"/>
                <w:b w:val="1"/>
                <w:bCs w:val="1"/>
                <w:color w:val="000000" w:themeColor="text1" w:themeTint="FF" w:themeShade="FF"/>
                <w:sz w:val="24"/>
                <w:szCs w:val="24"/>
              </w:rPr>
              <w:t>4. Name of person completing report</w:t>
            </w:r>
            <w:r w:rsidRPr="652B39C6" w:rsidR="64E882A9">
              <w:rPr>
                <w:rFonts w:ascii="Calibri" w:hAnsi="Calibri" w:eastAsia="Calibri" w:cs="Calibri"/>
                <w:color w:val="000000" w:themeColor="text1" w:themeTint="FF" w:themeShade="FF"/>
                <w:sz w:val="24"/>
                <w:szCs w:val="24"/>
              </w:rPr>
              <w:t>:</w:t>
            </w:r>
          </w:p>
          <w:p w:rsidR="21C5AFFB" w:rsidP="652B39C6" w:rsidRDefault="21C5AFFB" w14:paraId="6A347E99" w14:textId="23797FD9">
            <w:pPr>
              <w:pStyle w:val="Normal"/>
              <w:spacing w:line="259" w:lineRule="auto"/>
              <w:rPr>
                <w:rFonts w:ascii="Calibri" w:hAnsi="Calibri" w:eastAsia="Calibri" w:cs="Calibri"/>
                <w:color w:val="000000" w:themeColor="text1" w:themeTint="FF" w:themeShade="FF"/>
                <w:sz w:val="24"/>
                <w:szCs w:val="24"/>
              </w:rPr>
            </w:pPr>
            <w:r w:rsidRPr="652B39C6" w:rsidR="21C5AFFB">
              <w:rPr>
                <w:rFonts w:ascii="Calibri" w:hAnsi="Calibri" w:eastAsia="Calibri" w:cs="Calibri"/>
                <w:color w:val="000000" w:themeColor="text1" w:themeTint="FF" w:themeShade="FF"/>
                <w:sz w:val="24"/>
                <w:szCs w:val="24"/>
              </w:rPr>
              <w:t>Sandra Brightwell, EdD, RHIA, FAHIMA</w:t>
            </w:r>
          </w:p>
          <w:p w:rsidR="000BC967" w:rsidP="000BC967" w:rsidRDefault="000BC967" w14:paraId="0585A8E7" w14:textId="44F700C4">
            <w:pPr>
              <w:spacing w:line="259" w:lineRule="auto"/>
              <w:rPr>
                <w:rFonts w:ascii="Calibri" w:hAnsi="Calibri" w:eastAsia="Calibri" w:cs="Calibri"/>
                <w:color w:val="000000" w:themeColor="text1"/>
                <w:sz w:val="24"/>
                <w:szCs w:val="24"/>
              </w:rPr>
            </w:pPr>
          </w:p>
        </w:tc>
      </w:tr>
      <w:tr w:rsidR="000BC967" w:rsidTr="51566D8D" w14:paraId="16ED9B36" w14:textId="77777777">
        <w:trPr>
          <w:trHeight w:val="390"/>
        </w:trPr>
        <w:tc>
          <w:tcPr>
            <w:tcW w:w="14526" w:type="dxa"/>
            <w:tcMar/>
          </w:tcPr>
          <w:p w:rsidR="64E882A9" w:rsidP="000BC967" w:rsidRDefault="64E882A9" w14:paraId="6D81A542" w14:textId="1F0EABFA">
            <w:pPr>
              <w:spacing w:line="259" w:lineRule="auto"/>
              <w:rPr>
                <w:rFonts w:ascii="Calibri" w:hAnsi="Calibri" w:eastAsia="Calibri" w:cs="Calibri"/>
                <w:color w:val="000000" w:themeColor="text1"/>
                <w:sz w:val="24"/>
                <w:szCs w:val="24"/>
              </w:rPr>
            </w:pPr>
            <w:r w:rsidRPr="652B39C6" w:rsidR="64E882A9">
              <w:rPr>
                <w:rFonts w:ascii="Calibri" w:hAnsi="Calibri" w:eastAsia="Calibri" w:cs="Calibri"/>
                <w:b w:val="1"/>
                <w:bCs w:val="1"/>
                <w:color w:val="000000" w:themeColor="text1" w:themeTint="FF" w:themeShade="FF"/>
                <w:sz w:val="24"/>
                <w:szCs w:val="24"/>
              </w:rPr>
              <w:t>5. Semester and year in which the assessment was conducted</w:t>
            </w:r>
            <w:r w:rsidRPr="652B39C6" w:rsidR="64E882A9">
              <w:rPr>
                <w:rFonts w:ascii="Calibri" w:hAnsi="Calibri" w:eastAsia="Calibri" w:cs="Calibri"/>
                <w:color w:val="000000" w:themeColor="text1" w:themeTint="FF" w:themeShade="FF"/>
                <w:sz w:val="24"/>
                <w:szCs w:val="24"/>
              </w:rPr>
              <w:t>:</w:t>
            </w:r>
          </w:p>
          <w:p w:rsidR="5BED08BF" w:rsidP="652B39C6" w:rsidRDefault="5BED08BF" w14:paraId="41D008A0" w14:textId="7D561C6A">
            <w:pPr>
              <w:pStyle w:val="Normal"/>
              <w:spacing w:line="259" w:lineRule="auto"/>
              <w:rPr>
                <w:rFonts w:ascii="Calibri" w:hAnsi="Calibri" w:eastAsia="Calibri" w:cs="Calibri"/>
                <w:color w:val="000000" w:themeColor="text1" w:themeTint="FF" w:themeShade="FF"/>
                <w:sz w:val="24"/>
                <w:szCs w:val="24"/>
              </w:rPr>
            </w:pPr>
            <w:r w:rsidRPr="652B39C6" w:rsidR="5BED08BF">
              <w:rPr>
                <w:rFonts w:ascii="Calibri" w:hAnsi="Calibri" w:eastAsia="Calibri" w:cs="Calibri"/>
                <w:color w:val="000000" w:themeColor="text1" w:themeTint="FF" w:themeShade="FF"/>
                <w:sz w:val="24"/>
                <w:szCs w:val="24"/>
              </w:rPr>
              <w:t>Summer 2022</w:t>
            </w:r>
            <w:r w:rsidRPr="652B39C6" w:rsidR="650D08F4">
              <w:rPr>
                <w:rFonts w:ascii="Calibri" w:hAnsi="Calibri" w:eastAsia="Calibri" w:cs="Calibri"/>
                <w:color w:val="000000" w:themeColor="text1" w:themeTint="FF" w:themeShade="FF"/>
                <w:sz w:val="24"/>
                <w:szCs w:val="24"/>
              </w:rPr>
              <w:t>; RHIT Mock Exam</w:t>
            </w:r>
          </w:p>
          <w:p w:rsidR="000BC967" w:rsidP="000BC967" w:rsidRDefault="000BC967" w14:paraId="47035D64" w14:textId="0F9BEE28">
            <w:pPr>
              <w:spacing w:line="259" w:lineRule="auto"/>
              <w:rPr>
                <w:rFonts w:ascii="Calibri" w:hAnsi="Calibri" w:eastAsia="Calibri" w:cs="Calibri"/>
                <w:color w:val="000000" w:themeColor="text1"/>
                <w:sz w:val="24"/>
                <w:szCs w:val="24"/>
              </w:rPr>
            </w:pPr>
          </w:p>
        </w:tc>
      </w:tr>
      <w:tr w:rsidR="000BC967" w:rsidTr="51566D8D" w14:paraId="634A744F" w14:textId="77777777">
        <w:trPr>
          <w:trHeight w:val="390"/>
        </w:trPr>
        <w:tc>
          <w:tcPr>
            <w:tcW w:w="14526" w:type="dxa"/>
            <w:tcMar/>
          </w:tcPr>
          <w:p w:rsidR="64E882A9" w:rsidP="000BC967" w:rsidRDefault="64E882A9" w14:paraId="1FDDAE5C" w14:textId="025B01E9">
            <w:pPr>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6. Number of student participants</w:t>
            </w:r>
            <w:r w:rsidRPr="000BC967">
              <w:rPr>
                <w:rFonts w:ascii="Calibri" w:hAnsi="Calibri" w:eastAsia="Calibri" w:cs="Calibri"/>
                <w:color w:val="000000" w:themeColor="text1"/>
                <w:sz w:val="24"/>
                <w:szCs w:val="24"/>
              </w:rPr>
              <w:t>:</w:t>
            </w:r>
          </w:p>
          <w:p w:rsidR="000BC967" w:rsidP="000BC967" w:rsidRDefault="000BC967" w14:paraId="0746BC1C" w14:textId="36A3BD38">
            <w:pPr>
              <w:rPr>
                <w:rFonts w:ascii="Calibri" w:hAnsi="Calibri" w:eastAsia="Calibri" w:cs="Calibri"/>
                <w:color w:val="000000" w:themeColor="text1"/>
                <w:sz w:val="24"/>
                <w:szCs w:val="24"/>
              </w:rPr>
            </w:pPr>
            <w:r w:rsidRPr="57CA2714" w:rsidR="7A71023E">
              <w:rPr>
                <w:rFonts w:ascii="Calibri" w:hAnsi="Calibri" w:eastAsia="Calibri" w:cs="Calibri"/>
                <w:color w:val="000000" w:themeColor="text1" w:themeTint="FF" w:themeShade="FF"/>
                <w:sz w:val="24"/>
                <w:szCs w:val="24"/>
              </w:rPr>
              <w:t>10</w:t>
            </w:r>
          </w:p>
        </w:tc>
      </w:tr>
      <w:tr w:rsidR="000BC967" w:rsidTr="51566D8D" w14:paraId="38B9C526" w14:textId="77777777">
        <w:trPr>
          <w:trHeight w:val="390"/>
        </w:trPr>
        <w:tc>
          <w:tcPr>
            <w:tcW w:w="14526" w:type="dxa"/>
            <w:tcMar/>
          </w:tcPr>
          <w:p w:rsidR="64E882A9" w:rsidP="000BC967" w:rsidRDefault="64E882A9" w14:paraId="4C8C09C6" w14:textId="25233781">
            <w:pPr>
              <w:spacing w:line="259" w:lineRule="auto"/>
              <w:rPr>
                <w:rFonts w:ascii="Calibri" w:hAnsi="Calibri" w:eastAsia="Calibri" w:cs="Calibri"/>
                <w:color w:val="000000" w:themeColor="text1"/>
                <w:sz w:val="24"/>
                <w:szCs w:val="24"/>
              </w:rPr>
            </w:pPr>
            <w:r w:rsidRPr="652B39C6" w:rsidR="64E882A9">
              <w:rPr>
                <w:rFonts w:ascii="Calibri" w:hAnsi="Calibri" w:eastAsia="Calibri" w:cs="Calibri"/>
                <w:b w:val="1"/>
                <w:bCs w:val="1"/>
                <w:color w:val="000000" w:themeColor="text1" w:themeTint="FF" w:themeShade="FF"/>
                <w:sz w:val="24"/>
                <w:szCs w:val="24"/>
              </w:rPr>
              <w:t>7. Number of faculty/staff participants</w:t>
            </w:r>
            <w:r w:rsidRPr="652B39C6" w:rsidR="64E882A9">
              <w:rPr>
                <w:rFonts w:ascii="Calibri" w:hAnsi="Calibri" w:eastAsia="Calibri" w:cs="Calibri"/>
                <w:color w:val="000000" w:themeColor="text1" w:themeTint="FF" w:themeShade="FF"/>
                <w:sz w:val="24"/>
                <w:szCs w:val="24"/>
              </w:rPr>
              <w:t>:</w:t>
            </w:r>
          </w:p>
          <w:p w:rsidR="585810AC" w:rsidP="652B39C6" w:rsidRDefault="585810AC" w14:paraId="50C7A401" w14:textId="0AC11251">
            <w:pPr>
              <w:pStyle w:val="Normal"/>
              <w:spacing w:line="259" w:lineRule="auto"/>
              <w:rPr>
                <w:rFonts w:ascii="Calibri" w:hAnsi="Calibri" w:eastAsia="Calibri" w:cs="Calibri"/>
                <w:color w:val="000000" w:themeColor="text1" w:themeTint="FF" w:themeShade="FF"/>
                <w:sz w:val="24"/>
                <w:szCs w:val="24"/>
              </w:rPr>
            </w:pPr>
            <w:r w:rsidRPr="652B39C6" w:rsidR="585810AC">
              <w:rPr>
                <w:rFonts w:ascii="Calibri" w:hAnsi="Calibri" w:eastAsia="Calibri" w:cs="Calibri"/>
                <w:color w:val="000000" w:themeColor="text1" w:themeTint="FF" w:themeShade="FF"/>
                <w:sz w:val="24"/>
                <w:szCs w:val="24"/>
              </w:rPr>
              <w:t>1</w:t>
            </w:r>
          </w:p>
          <w:p w:rsidR="000BC967" w:rsidP="000BC967" w:rsidRDefault="000BC967" w14:paraId="28D6D591" w14:textId="29CFADD1">
            <w:pPr>
              <w:spacing w:line="259" w:lineRule="auto"/>
              <w:rPr>
                <w:rFonts w:ascii="Calibri" w:hAnsi="Calibri" w:eastAsia="Calibri" w:cs="Calibri"/>
                <w:color w:val="000000" w:themeColor="text1"/>
                <w:sz w:val="24"/>
                <w:szCs w:val="24"/>
              </w:rPr>
            </w:pPr>
          </w:p>
        </w:tc>
      </w:tr>
      <w:tr w:rsidR="000BC967" w:rsidTr="51566D8D" w14:paraId="0F8CFABD" w14:textId="77777777">
        <w:trPr>
          <w:trHeight w:val="390"/>
        </w:trPr>
        <w:tc>
          <w:tcPr>
            <w:tcW w:w="14526" w:type="dxa"/>
            <w:tcMar/>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8. What PLOs and/or MSLOs and CSLOs did you assess for this baseline assessment? (For clarity, please label each measure listed as a PLO, MSLO, or CSLO.)</w:t>
            </w:r>
          </w:p>
          <w:p w:rsidR="000BC967" w:rsidP="000BC967" w:rsidRDefault="000BC967" w14:paraId="008B6FD3" w14:textId="35236FF0">
            <w:pPr>
              <w:spacing w:line="259" w:lineRule="auto"/>
              <w:rPr>
                <w:rFonts w:ascii="Calibri" w:hAnsi="Calibri" w:eastAsia="Calibri" w:cs="Calibri"/>
                <w:color w:val="000000" w:themeColor="text1"/>
                <w:sz w:val="24"/>
                <w:szCs w:val="24"/>
              </w:rPr>
            </w:pPr>
          </w:p>
          <w:p w:rsidR="000BC967" w:rsidP="57CA2714" w:rsidRDefault="000BC967" w14:paraId="6985D402" w14:textId="215E68AB">
            <w:pPr>
              <w:pStyle w:val="Normal"/>
              <w:spacing w:line="259" w:lineRule="auto"/>
              <w:rPr>
                <w:rFonts w:ascii="Calibri" w:hAnsi="Calibri" w:eastAsia="Calibri" w:cs="Calibri"/>
                <w:noProof w:val="0"/>
                <w:sz w:val="24"/>
                <w:szCs w:val="24"/>
                <w:lang w:val="en-US"/>
              </w:rPr>
            </w:pPr>
            <w:r w:rsidRPr="57CA2714" w:rsidR="3176BF65">
              <w:rPr>
                <w:rFonts w:ascii="Arial" w:hAnsi="Arial" w:eastAsia="Arial" w:cs="Arial"/>
                <w:b w:val="0"/>
                <w:bCs w:val="0"/>
                <w:i w:val="0"/>
                <w:iCs w:val="0"/>
                <w:caps w:val="0"/>
                <w:smallCaps w:val="0"/>
                <w:noProof w:val="0"/>
                <w:color w:val="666666"/>
                <w:sz w:val="24"/>
                <w:szCs w:val="24"/>
                <w:lang w:val="en-US"/>
              </w:rPr>
              <w:t>Domain I. (Synthesis Level) Data Structure, Content, and Information Governance (CSLO 2,4)</w:t>
            </w:r>
            <w:r>
              <w:br/>
            </w:r>
            <w:r w:rsidRPr="57CA2714" w:rsidR="3176BF65">
              <w:rPr>
                <w:rFonts w:ascii="Arial" w:hAnsi="Arial" w:eastAsia="Arial" w:cs="Arial"/>
                <w:b w:val="0"/>
                <w:bCs w:val="0"/>
                <w:i w:val="0"/>
                <w:iCs w:val="0"/>
                <w:caps w:val="0"/>
                <w:smallCaps w:val="0"/>
                <w:noProof w:val="0"/>
                <w:color w:val="666666"/>
                <w:sz w:val="24"/>
                <w:szCs w:val="24"/>
                <w:lang w:val="en-US"/>
              </w:rPr>
              <w:t>I.2. Apply policies, regulations, and standards to the management of information.</w:t>
            </w:r>
            <w:r>
              <w:br/>
            </w:r>
            <w:r w:rsidRPr="57CA2714" w:rsidR="3176BF65">
              <w:rPr>
                <w:rFonts w:ascii="Arial" w:hAnsi="Arial" w:eastAsia="Arial" w:cs="Arial"/>
                <w:b w:val="0"/>
                <w:bCs w:val="0"/>
                <w:i w:val="0"/>
                <w:iCs w:val="0"/>
                <w:caps w:val="0"/>
                <w:smallCaps w:val="0"/>
                <w:noProof w:val="0"/>
                <w:color w:val="666666"/>
                <w:sz w:val="24"/>
                <w:szCs w:val="24"/>
                <w:lang w:val="en-US"/>
              </w:rPr>
              <w:t>I.3. Identify policies and strategies to achieve data integrity.</w:t>
            </w:r>
            <w:r>
              <w:br/>
            </w:r>
            <w:r w:rsidRPr="57CA2714" w:rsidR="3176BF65">
              <w:rPr>
                <w:rFonts w:ascii="Arial" w:hAnsi="Arial" w:eastAsia="Arial" w:cs="Arial"/>
                <w:b w:val="0"/>
                <w:bCs w:val="0"/>
                <w:i w:val="0"/>
                <w:iCs w:val="0"/>
                <w:caps w:val="0"/>
                <w:smallCaps w:val="0"/>
                <w:noProof w:val="0"/>
                <w:color w:val="666666"/>
                <w:sz w:val="24"/>
                <w:szCs w:val="24"/>
                <w:lang w:val="en-US"/>
              </w:rPr>
              <w:t>I.4. Determine compliance of health record content within the health organization.</w:t>
            </w:r>
            <w:r>
              <w:br/>
            </w:r>
            <w:r>
              <w:br/>
            </w:r>
            <w:r w:rsidRPr="57CA2714" w:rsidR="3176BF65">
              <w:rPr>
                <w:rFonts w:ascii="Arial" w:hAnsi="Arial" w:eastAsia="Arial" w:cs="Arial"/>
                <w:b w:val="0"/>
                <w:bCs w:val="0"/>
                <w:i w:val="0"/>
                <w:iCs w:val="0"/>
                <w:caps w:val="0"/>
                <w:smallCaps w:val="0"/>
                <w:noProof w:val="0"/>
                <w:color w:val="666666"/>
                <w:sz w:val="24"/>
                <w:szCs w:val="24"/>
                <w:lang w:val="en-US"/>
              </w:rPr>
              <w:t>Domain II. (Application Level) Information Protection: Access, Use, Disclosure, Privacy, and Security (CSLO 1,2, 4)</w:t>
            </w:r>
            <w:r>
              <w:br/>
            </w:r>
            <w:r w:rsidRPr="57CA2714" w:rsidR="3176BF65">
              <w:rPr>
                <w:rFonts w:ascii="Arial" w:hAnsi="Arial" w:eastAsia="Arial" w:cs="Arial"/>
                <w:b w:val="0"/>
                <w:bCs w:val="0"/>
                <w:i w:val="0"/>
                <w:iCs w:val="0"/>
                <w:caps w:val="0"/>
                <w:smallCaps w:val="0"/>
                <w:noProof w:val="0"/>
                <w:color w:val="666666"/>
                <w:sz w:val="24"/>
                <w:szCs w:val="24"/>
                <w:lang w:val="en-US"/>
              </w:rPr>
              <w:t>II.1. Apply privacy strategies to health information.</w:t>
            </w:r>
            <w:r>
              <w:br/>
            </w:r>
            <w:r w:rsidRPr="57CA2714" w:rsidR="3176BF65">
              <w:rPr>
                <w:rFonts w:ascii="Arial" w:hAnsi="Arial" w:eastAsia="Arial" w:cs="Arial"/>
                <w:b w:val="0"/>
                <w:bCs w:val="0"/>
                <w:i w:val="0"/>
                <w:iCs w:val="0"/>
                <w:caps w:val="0"/>
                <w:smallCaps w:val="0"/>
                <w:noProof w:val="0"/>
                <w:color w:val="666666"/>
                <w:sz w:val="24"/>
                <w:szCs w:val="24"/>
                <w:lang w:val="en-US"/>
              </w:rPr>
              <w:t>II.2. Apply security strategies to health information.</w:t>
            </w:r>
            <w:r>
              <w:br/>
            </w:r>
            <w:r w:rsidRPr="57CA2714" w:rsidR="3176BF65">
              <w:rPr>
                <w:rFonts w:ascii="Arial" w:hAnsi="Arial" w:eastAsia="Arial" w:cs="Arial"/>
                <w:b w:val="0"/>
                <w:bCs w:val="0"/>
                <w:i w:val="0"/>
                <w:iCs w:val="0"/>
                <w:caps w:val="0"/>
                <w:smallCaps w:val="0"/>
                <w:noProof w:val="0"/>
                <w:color w:val="666666"/>
                <w:sz w:val="24"/>
                <w:szCs w:val="24"/>
                <w:lang w:val="en-US"/>
              </w:rPr>
              <w:t>II.3. Identify compliance requirements throughout the health information life cycle.</w:t>
            </w:r>
            <w:r>
              <w:br/>
            </w:r>
            <w:r>
              <w:br/>
            </w:r>
            <w:r w:rsidRPr="57CA2714" w:rsidR="3176BF65">
              <w:rPr>
                <w:rFonts w:ascii="Arial" w:hAnsi="Arial" w:eastAsia="Arial" w:cs="Arial"/>
                <w:b w:val="0"/>
                <w:bCs w:val="0"/>
                <w:i w:val="0"/>
                <w:iCs w:val="0"/>
                <w:caps w:val="0"/>
                <w:smallCaps w:val="0"/>
                <w:noProof w:val="0"/>
                <w:color w:val="666666"/>
                <w:sz w:val="24"/>
                <w:szCs w:val="24"/>
                <w:lang w:val="en-US"/>
              </w:rPr>
              <w:t>Domain III. (Analysis Level) Informatics, Analytics, and Data Use (CSLO 2,4)</w:t>
            </w:r>
            <w:r>
              <w:br/>
            </w:r>
            <w:r w:rsidRPr="57CA2714" w:rsidR="3176BF65">
              <w:rPr>
                <w:rFonts w:ascii="Arial" w:hAnsi="Arial" w:eastAsia="Arial" w:cs="Arial"/>
                <w:b w:val="0"/>
                <w:bCs w:val="0"/>
                <w:i w:val="0"/>
                <w:iCs w:val="0"/>
                <w:caps w:val="0"/>
                <w:smallCaps w:val="0"/>
                <w:noProof w:val="0"/>
                <w:color w:val="666666"/>
                <w:sz w:val="24"/>
                <w:szCs w:val="24"/>
                <w:lang w:val="en-US"/>
              </w:rPr>
              <w:t>III.1. Apply health informatics concepts to the management of health information.</w:t>
            </w:r>
            <w:r>
              <w:br/>
            </w:r>
            <w:r w:rsidRPr="57CA2714" w:rsidR="3176BF65">
              <w:rPr>
                <w:rFonts w:ascii="Arial" w:hAnsi="Arial" w:eastAsia="Arial" w:cs="Arial"/>
                <w:b w:val="0"/>
                <w:bCs w:val="0"/>
                <w:i w:val="0"/>
                <w:iCs w:val="0"/>
                <w:caps w:val="0"/>
                <w:smallCaps w:val="0"/>
                <w:noProof w:val="0"/>
                <w:color w:val="666666"/>
                <w:sz w:val="24"/>
                <w:szCs w:val="24"/>
                <w:lang w:val="en-US"/>
              </w:rPr>
              <w:t>III.2. Utilize technologies for health information management.</w:t>
            </w:r>
            <w:r>
              <w:br/>
            </w:r>
            <w:r w:rsidRPr="57CA2714" w:rsidR="3176BF65">
              <w:rPr>
                <w:rFonts w:ascii="Arial" w:hAnsi="Arial" w:eastAsia="Arial" w:cs="Arial"/>
                <w:b w:val="0"/>
                <w:bCs w:val="0"/>
                <w:i w:val="0"/>
                <w:iCs w:val="0"/>
                <w:caps w:val="0"/>
                <w:smallCaps w:val="0"/>
                <w:noProof w:val="0"/>
                <w:color w:val="666666"/>
                <w:sz w:val="24"/>
                <w:szCs w:val="24"/>
                <w:lang w:val="en-US"/>
              </w:rPr>
              <w:t>III.3. Calculate statistics for health care operations.</w:t>
            </w:r>
            <w:r>
              <w:br/>
            </w:r>
            <w:r w:rsidRPr="57CA2714" w:rsidR="3176BF65">
              <w:rPr>
                <w:rFonts w:ascii="Arial" w:hAnsi="Arial" w:eastAsia="Arial" w:cs="Arial"/>
                <w:b w:val="0"/>
                <w:bCs w:val="0"/>
                <w:i w:val="0"/>
                <w:iCs w:val="0"/>
                <w:caps w:val="0"/>
                <w:smallCaps w:val="0"/>
                <w:noProof w:val="0"/>
                <w:color w:val="666666"/>
                <w:sz w:val="24"/>
                <w:szCs w:val="24"/>
                <w:lang w:val="en-US"/>
              </w:rPr>
              <w:t>III.4. Report health care data through graphical representations.</w:t>
            </w:r>
            <w:r>
              <w:br/>
            </w:r>
            <w:r>
              <w:br/>
            </w:r>
            <w:r w:rsidRPr="57CA2714" w:rsidR="3176BF65">
              <w:rPr>
                <w:rFonts w:ascii="Arial" w:hAnsi="Arial" w:eastAsia="Arial" w:cs="Arial"/>
                <w:b w:val="0"/>
                <w:bCs w:val="0"/>
                <w:i w:val="0"/>
                <w:iCs w:val="0"/>
                <w:caps w:val="0"/>
                <w:smallCaps w:val="0"/>
                <w:noProof w:val="0"/>
                <w:color w:val="666666"/>
                <w:sz w:val="24"/>
                <w:szCs w:val="24"/>
                <w:lang w:val="en-US"/>
              </w:rPr>
              <w:t>Domain IV. (Synthesis Level) Revenue Cycle Management (CSLO 2,4)</w:t>
            </w:r>
            <w:r>
              <w:br/>
            </w:r>
            <w:r w:rsidRPr="57CA2714" w:rsidR="3176BF65">
              <w:rPr>
                <w:rFonts w:ascii="Arial" w:hAnsi="Arial" w:eastAsia="Arial" w:cs="Arial"/>
                <w:b w:val="0"/>
                <w:bCs w:val="0"/>
                <w:i w:val="0"/>
                <w:iCs w:val="0"/>
                <w:caps w:val="0"/>
                <w:smallCaps w:val="0"/>
                <w:noProof w:val="0"/>
                <w:color w:val="666666"/>
                <w:sz w:val="24"/>
                <w:szCs w:val="24"/>
                <w:lang w:val="en-US"/>
              </w:rPr>
              <w:t>IV.2. Describe components of revenue cycle management and clinical documentation improvement.</w:t>
            </w:r>
            <w:r>
              <w:br/>
            </w:r>
            <w:r>
              <w:br/>
            </w:r>
            <w:r w:rsidRPr="57CA2714" w:rsidR="3176BF65">
              <w:rPr>
                <w:rFonts w:ascii="Arial" w:hAnsi="Arial" w:eastAsia="Arial" w:cs="Arial"/>
                <w:b w:val="0"/>
                <w:bCs w:val="0"/>
                <w:i w:val="0"/>
                <w:iCs w:val="0"/>
                <w:caps w:val="0"/>
                <w:smallCaps w:val="0"/>
                <w:noProof w:val="0"/>
                <w:color w:val="666666"/>
                <w:sz w:val="24"/>
                <w:szCs w:val="24"/>
                <w:lang w:val="en-US"/>
              </w:rPr>
              <w:t>Domain V. (Synthesis Level) Health Law and Compliance (CSLO 2,3,4)</w:t>
            </w:r>
            <w:r>
              <w:br/>
            </w:r>
            <w:r w:rsidRPr="57CA2714" w:rsidR="3176BF65">
              <w:rPr>
                <w:rFonts w:ascii="Arial" w:hAnsi="Arial" w:eastAsia="Arial" w:cs="Arial"/>
                <w:b w:val="0"/>
                <w:bCs w:val="0"/>
                <w:i w:val="0"/>
                <w:iCs w:val="0"/>
                <w:caps w:val="0"/>
                <w:smallCaps w:val="0"/>
                <w:noProof w:val="0"/>
                <w:color w:val="666666"/>
                <w:sz w:val="24"/>
                <w:szCs w:val="24"/>
                <w:lang w:val="en-US"/>
              </w:rPr>
              <w:t>V.2. Demonstrate compliance with external forces.</w:t>
            </w:r>
            <w:r>
              <w:br/>
            </w:r>
            <w:r w:rsidRPr="57CA2714" w:rsidR="3176BF65">
              <w:rPr>
                <w:rFonts w:ascii="Arial" w:hAnsi="Arial" w:eastAsia="Arial" w:cs="Arial"/>
                <w:b w:val="0"/>
                <w:bCs w:val="0"/>
                <w:i w:val="0"/>
                <w:iCs w:val="0"/>
                <w:caps w:val="0"/>
                <w:smallCaps w:val="0"/>
                <w:noProof w:val="0"/>
                <w:color w:val="666666"/>
                <w:sz w:val="24"/>
                <w:szCs w:val="24"/>
                <w:lang w:val="en-US"/>
              </w:rPr>
              <w:t>V.3. Identify the components of risk management related to health information management.</w:t>
            </w:r>
            <w:r>
              <w:br/>
            </w:r>
            <w:r w:rsidRPr="57CA2714" w:rsidR="3176BF65">
              <w:rPr>
                <w:rFonts w:ascii="Arial" w:hAnsi="Arial" w:eastAsia="Arial" w:cs="Arial"/>
                <w:b w:val="0"/>
                <w:bCs w:val="0"/>
                <w:i w:val="0"/>
                <w:iCs w:val="0"/>
                <w:caps w:val="0"/>
                <w:smallCaps w:val="0"/>
                <w:noProof w:val="0"/>
                <w:color w:val="666666"/>
                <w:sz w:val="24"/>
                <w:szCs w:val="24"/>
                <w:lang w:val="en-US"/>
              </w:rPr>
              <w:t>V.4. Identify the impact of policy on health care.</w:t>
            </w:r>
            <w:r>
              <w:br/>
            </w:r>
            <w:r>
              <w:br/>
            </w:r>
            <w:r w:rsidRPr="57CA2714" w:rsidR="3176BF65">
              <w:rPr>
                <w:rFonts w:ascii="Arial" w:hAnsi="Arial" w:eastAsia="Arial" w:cs="Arial"/>
                <w:b w:val="0"/>
                <w:bCs w:val="0"/>
                <w:i w:val="0"/>
                <w:iCs w:val="0"/>
                <w:caps w:val="0"/>
                <w:smallCaps w:val="0"/>
                <w:noProof w:val="0"/>
                <w:color w:val="666666"/>
                <w:sz w:val="24"/>
                <w:szCs w:val="24"/>
                <w:lang w:val="en-US"/>
              </w:rPr>
              <w:t>Domain VI. (Synthesis Level) Organizational Management and Leadership (CSLO 1,2,3,4)</w:t>
            </w:r>
            <w:r>
              <w:br/>
            </w:r>
            <w:r w:rsidRPr="57CA2714" w:rsidR="3176BF65">
              <w:rPr>
                <w:rFonts w:ascii="Arial" w:hAnsi="Arial" w:eastAsia="Arial" w:cs="Arial"/>
                <w:b w:val="0"/>
                <w:bCs w:val="0"/>
                <w:i w:val="0"/>
                <w:iCs w:val="0"/>
                <w:caps w:val="0"/>
                <w:smallCaps w:val="0"/>
                <w:noProof w:val="0"/>
                <w:color w:val="666666"/>
                <w:sz w:val="24"/>
                <w:szCs w:val="24"/>
                <w:lang w:val="en-US"/>
              </w:rPr>
              <w:t>VI.1. Demonstrate fundamental leadership skills.</w:t>
            </w:r>
            <w:r>
              <w:br/>
            </w:r>
            <w:r w:rsidRPr="57CA2714" w:rsidR="3176BF65">
              <w:rPr>
                <w:rFonts w:ascii="Arial" w:hAnsi="Arial" w:eastAsia="Arial" w:cs="Arial"/>
                <w:b w:val="0"/>
                <w:bCs w:val="0"/>
                <w:i w:val="0"/>
                <w:iCs w:val="0"/>
                <w:caps w:val="0"/>
                <w:smallCaps w:val="0"/>
                <w:noProof w:val="0"/>
                <w:color w:val="666666"/>
                <w:sz w:val="24"/>
                <w:szCs w:val="24"/>
                <w:lang w:val="en-US"/>
              </w:rPr>
              <w:t>VI.2. Identify the impact of organizational change.</w:t>
            </w:r>
            <w:r>
              <w:br/>
            </w:r>
            <w:r w:rsidRPr="57CA2714" w:rsidR="3176BF65">
              <w:rPr>
                <w:rFonts w:ascii="Arial" w:hAnsi="Arial" w:eastAsia="Arial" w:cs="Arial"/>
                <w:b w:val="0"/>
                <w:bCs w:val="0"/>
                <w:i w:val="0"/>
                <w:iCs w:val="0"/>
                <w:caps w:val="0"/>
                <w:smallCaps w:val="0"/>
                <w:noProof w:val="0"/>
                <w:color w:val="666666"/>
                <w:sz w:val="24"/>
                <w:szCs w:val="24"/>
                <w:lang w:val="en-US"/>
              </w:rPr>
              <w:t>VI.3. Identify human resource strategies for organizational best practices.</w:t>
            </w:r>
            <w:r>
              <w:br/>
            </w:r>
            <w:r w:rsidRPr="57CA2714" w:rsidR="3176BF65">
              <w:rPr>
                <w:rFonts w:ascii="Arial" w:hAnsi="Arial" w:eastAsia="Arial" w:cs="Arial"/>
                <w:b w:val="0"/>
                <w:bCs w:val="0"/>
                <w:i w:val="0"/>
                <w:iCs w:val="0"/>
                <w:caps w:val="0"/>
                <w:smallCaps w:val="0"/>
                <w:noProof w:val="0"/>
                <w:color w:val="666666"/>
                <w:sz w:val="24"/>
                <w:szCs w:val="24"/>
                <w:lang w:val="en-US"/>
              </w:rPr>
              <w:t>VI.4. Utilize data-driven performance improvement techniques for decision making.</w:t>
            </w:r>
            <w:r>
              <w:br/>
            </w:r>
            <w:r w:rsidRPr="57CA2714" w:rsidR="3176BF65">
              <w:rPr>
                <w:rFonts w:ascii="Arial" w:hAnsi="Arial" w:eastAsia="Arial" w:cs="Arial"/>
                <w:b w:val="0"/>
                <w:bCs w:val="0"/>
                <w:i w:val="0"/>
                <w:iCs w:val="0"/>
                <w:caps w:val="0"/>
                <w:smallCaps w:val="0"/>
                <w:noProof w:val="0"/>
                <w:color w:val="666666"/>
                <w:sz w:val="24"/>
                <w:szCs w:val="24"/>
                <w:lang w:val="en-US"/>
              </w:rPr>
              <w:t>VI.5. Utilize financial management processes.</w:t>
            </w:r>
            <w:r>
              <w:br/>
            </w:r>
            <w:r w:rsidRPr="57CA2714" w:rsidR="3176BF65">
              <w:rPr>
                <w:rFonts w:ascii="Arial" w:hAnsi="Arial" w:eastAsia="Arial" w:cs="Arial"/>
                <w:b w:val="0"/>
                <w:bCs w:val="0"/>
                <w:i w:val="0"/>
                <w:iCs w:val="0"/>
                <w:caps w:val="0"/>
                <w:smallCaps w:val="0"/>
                <w:noProof w:val="0"/>
                <w:color w:val="666666"/>
                <w:sz w:val="24"/>
                <w:szCs w:val="24"/>
                <w:lang w:val="en-US"/>
              </w:rPr>
              <w:t>VI.6. Examine behaviors that embrace cultural diversity.</w:t>
            </w:r>
            <w:r>
              <w:br/>
            </w:r>
            <w:r w:rsidRPr="57CA2714" w:rsidR="3176BF65">
              <w:rPr>
                <w:rFonts w:ascii="Arial" w:hAnsi="Arial" w:eastAsia="Arial" w:cs="Arial"/>
                <w:b w:val="0"/>
                <w:bCs w:val="0"/>
                <w:i w:val="0"/>
                <w:iCs w:val="0"/>
                <w:caps w:val="0"/>
                <w:smallCaps w:val="0"/>
                <w:noProof w:val="0"/>
                <w:color w:val="666666"/>
                <w:sz w:val="24"/>
                <w:szCs w:val="24"/>
                <w:lang w:val="en-US"/>
              </w:rPr>
              <w:t>VI.7. Assess ethical standards of practice.</w:t>
            </w:r>
            <w:r>
              <w:br/>
            </w:r>
            <w:r w:rsidRPr="57CA2714" w:rsidR="3176BF65">
              <w:rPr>
                <w:rFonts w:ascii="Arial" w:hAnsi="Arial" w:eastAsia="Arial" w:cs="Arial"/>
                <w:b w:val="0"/>
                <w:bCs w:val="0"/>
                <w:i w:val="0"/>
                <w:iCs w:val="0"/>
                <w:caps w:val="0"/>
                <w:smallCaps w:val="0"/>
                <w:noProof w:val="0"/>
                <w:color w:val="666666"/>
                <w:sz w:val="24"/>
                <w:szCs w:val="24"/>
                <w:lang w:val="en-US"/>
              </w:rPr>
              <w:t>VI.8. Describe consumer engagement activities.</w:t>
            </w:r>
            <w:r>
              <w:br/>
            </w:r>
            <w:r w:rsidRPr="57CA2714" w:rsidR="3176BF65">
              <w:rPr>
                <w:rFonts w:ascii="Arial" w:hAnsi="Arial" w:eastAsia="Arial" w:cs="Arial"/>
                <w:b w:val="0"/>
                <w:bCs w:val="0"/>
                <w:i w:val="0"/>
                <w:iCs w:val="0"/>
                <w:caps w:val="0"/>
                <w:smallCaps w:val="0"/>
                <w:noProof w:val="0"/>
                <w:color w:val="666666"/>
                <w:sz w:val="24"/>
                <w:szCs w:val="24"/>
                <w:lang w:val="en-US"/>
              </w:rPr>
              <w:t>VI.9. Identify processes of workforce training for health care organizations.</w:t>
            </w:r>
          </w:p>
          <w:p w:rsidR="000BC967" w:rsidP="000BC967" w:rsidRDefault="000BC967" w14:paraId="1CC043F6" w14:textId="1928660E">
            <w:pPr>
              <w:jc w:val="center"/>
              <w:rPr>
                <w:rFonts w:ascii="Calibri" w:hAnsi="Calibri" w:eastAsia="Calibri" w:cs="Calibri"/>
                <w:b/>
                <w:bCs/>
                <w:color w:val="000000" w:themeColor="text1"/>
                <w:sz w:val="24"/>
                <w:szCs w:val="24"/>
              </w:rPr>
            </w:pPr>
          </w:p>
        </w:tc>
      </w:tr>
      <w:tr w:rsidR="000BC967" w:rsidTr="51566D8D" w14:paraId="0FE194E8" w14:textId="77777777">
        <w:trPr>
          <w:trHeight w:val="390"/>
        </w:trPr>
        <w:tc>
          <w:tcPr>
            <w:tcW w:w="14526" w:type="dxa"/>
            <w:tcMar/>
          </w:tcPr>
          <w:p w:rsidR="64E882A9" w:rsidP="000BC967" w:rsidRDefault="64E882A9" w14:paraId="103FD1B6" w14:textId="3ECF7C28">
            <w:pPr>
              <w:spacing w:line="259" w:lineRule="auto"/>
              <w:rPr>
                <w:rFonts w:ascii="Calibri" w:hAnsi="Calibri" w:eastAsia="Calibri" w:cs="Calibri"/>
                <w:color w:val="000000" w:themeColor="text1"/>
                <w:sz w:val="24"/>
                <w:szCs w:val="24"/>
              </w:rPr>
            </w:pPr>
            <w:r w:rsidRPr="652B39C6" w:rsidR="64E882A9">
              <w:rPr>
                <w:rFonts w:ascii="Calibri" w:hAnsi="Calibri" w:eastAsia="Calibri" w:cs="Calibri"/>
                <w:b w:val="1"/>
                <w:bCs w:val="1"/>
                <w:color w:val="000000" w:themeColor="text1" w:themeTint="FF" w:themeShade="FF"/>
                <w:sz w:val="24"/>
                <w:szCs w:val="24"/>
              </w:rPr>
              <w:t>9. Describe the assessment method used and the criteria for successful achievement of student learning outcomes. (e.g., rubrics, licensing exam, internship, portfolio, exam, quiz, research paper, performance exam, EAC, etc.)</w:t>
            </w:r>
          </w:p>
          <w:p w:rsidR="13FA84C7" w:rsidP="652B39C6" w:rsidRDefault="13FA84C7" w14:paraId="0681F1C2" w14:textId="683F44B7">
            <w:pPr>
              <w:pStyle w:val="Normal"/>
              <w:spacing w:line="259" w:lineRule="auto"/>
              <w:rPr>
                <w:rFonts w:ascii="Calibri" w:hAnsi="Calibri" w:eastAsia="Calibri" w:cs="Calibri"/>
                <w:b w:val="1"/>
                <w:bCs w:val="1"/>
                <w:color w:val="000000" w:themeColor="text1" w:themeTint="FF" w:themeShade="FF"/>
                <w:sz w:val="24"/>
                <w:szCs w:val="24"/>
              </w:rPr>
            </w:pPr>
            <w:r w:rsidRPr="57CA2714" w:rsidR="13FA84C7">
              <w:rPr>
                <w:rFonts w:ascii="Calibri" w:hAnsi="Calibri" w:eastAsia="Calibri" w:cs="Calibri"/>
                <w:b w:val="0"/>
                <w:bCs w:val="0"/>
                <w:color w:val="000000" w:themeColor="text1" w:themeTint="FF" w:themeShade="FF"/>
                <w:sz w:val="24"/>
                <w:szCs w:val="24"/>
              </w:rPr>
              <w:t>Mock Credentialing Exam</w:t>
            </w:r>
          </w:p>
          <w:p w:rsidR="57CA2714" w:rsidP="57CA2714" w:rsidRDefault="57CA2714" w14:paraId="47DE11EF" w14:textId="22A9C8C2">
            <w:pPr>
              <w:pStyle w:val="Normal"/>
              <w:spacing w:line="259" w:lineRule="auto"/>
              <w:rPr>
                <w:rFonts w:ascii="Calibri" w:hAnsi="Calibri" w:eastAsia="Calibri" w:cs="Calibri"/>
                <w:b w:val="0"/>
                <w:bCs w:val="0"/>
                <w:color w:val="000000" w:themeColor="text1" w:themeTint="FF" w:themeShade="FF"/>
                <w:sz w:val="24"/>
                <w:szCs w:val="24"/>
              </w:rPr>
            </w:pPr>
          </w:p>
          <w:p w:rsidR="5070B099" w:rsidP="51566D8D" w:rsidRDefault="5070B099" w14:paraId="727FDDA9" w14:textId="4B594816">
            <w:pPr>
              <w:pStyle w:val="Normal"/>
              <w:spacing w:line="259" w:lineRule="auto"/>
              <w:rPr>
                <w:rFonts w:ascii="Calibri" w:hAnsi="Calibri" w:eastAsia="Calibri" w:cs="Calibri"/>
                <w:b w:val="0"/>
                <w:bCs w:val="0"/>
                <w:color w:val="000000" w:themeColor="text1" w:themeTint="FF" w:themeShade="FF"/>
                <w:sz w:val="24"/>
                <w:szCs w:val="24"/>
              </w:rPr>
            </w:pPr>
            <w:r w:rsidRPr="51566D8D" w:rsidR="5070B099">
              <w:rPr>
                <w:rFonts w:ascii="Calibri" w:hAnsi="Calibri" w:eastAsia="Calibri" w:cs="Calibri"/>
                <w:b w:val="0"/>
                <w:bCs w:val="0"/>
                <w:color w:val="000000" w:themeColor="text1" w:themeTint="FF" w:themeShade="FF"/>
                <w:sz w:val="24"/>
                <w:szCs w:val="24"/>
              </w:rPr>
              <w:t xml:space="preserve">Goal: </w:t>
            </w:r>
          </w:p>
          <w:p w:rsidR="5070B099" w:rsidP="57CA2714" w:rsidRDefault="5070B099" w14:paraId="43F197FD" w14:textId="3265892C">
            <w:pPr>
              <w:pStyle w:val="Normal"/>
              <w:spacing w:line="259" w:lineRule="auto"/>
              <w:rPr>
                <w:rFonts w:ascii="Calibri" w:hAnsi="Calibri" w:eastAsia="Calibri" w:cs="Calibri"/>
                <w:b w:val="0"/>
                <w:bCs w:val="0"/>
                <w:color w:val="000000" w:themeColor="text1" w:themeTint="FF" w:themeShade="FF"/>
                <w:sz w:val="24"/>
                <w:szCs w:val="24"/>
              </w:rPr>
            </w:pPr>
            <w:r w:rsidRPr="51566D8D" w:rsidR="5070B099">
              <w:rPr>
                <w:rFonts w:ascii="Calibri" w:hAnsi="Calibri" w:eastAsia="Calibri" w:cs="Calibri"/>
                <w:b w:val="0"/>
                <w:bCs w:val="0"/>
                <w:color w:val="000000" w:themeColor="text1" w:themeTint="FF" w:themeShade="FF"/>
                <w:sz w:val="24"/>
                <w:szCs w:val="24"/>
              </w:rPr>
              <w:t>Students score 70% or higher</w:t>
            </w:r>
          </w:p>
          <w:p w:rsidR="51566D8D" w:rsidP="51566D8D" w:rsidRDefault="51566D8D" w14:paraId="4C1675E3" w14:textId="4770BE8C">
            <w:pPr>
              <w:pStyle w:val="Normal"/>
              <w:spacing w:line="259" w:lineRule="auto"/>
              <w:rPr>
                <w:rFonts w:ascii="Calibri" w:hAnsi="Calibri" w:eastAsia="Calibri" w:cs="Calibri"/>
                <w:b w:val="0"/>
                <w:bCs w:val="0"/>
                <w:color w:val="000000" w:themeColor="text1" w:themeTint="FF" w:themeShade="FF"/>
                <w:sz w:val="24"/>
                <w:szCs w:val="24"/>
              </w:rPr>
            </w:pPr>
          </w:p>
          <w:p w:rsidR="5070B099" w:rsidP="51566D8D" w:rsidRDefault="5070B099" w14:paraId="63D64093" w14:textId="0C2E7E29">
            <w:pPr>
              <w:pStyle w:val="Normal"/>
              <w:spacing w:line="259" w:lineRule="auto"/>
              <w:rPr>
                <w:rFonts w:ascii="Calibri" w:hAnsi="Calibri" w:eastAsia="Calibri" w:cs="Calibri"/>
                <w:b w:val="0"/>
                <w:bCs w:val="0"/>
                <w:color w:val="000000" w:themeColor="text1" w:themeTint="FF" w:themeShade="FF"/>
                <w:sz w:val="24"/>
                <w:szCs w:val="24"/>
              </w:rPr>
            </w:pPr>
            <w:r w:rsidRPr="51566D8D" w:rsidR="217DBBF3">
              <w:rPr>
                <w:rFonts w:ascii="Calibri" w:hAnsi="Calibri" w:eastAsia="Calibri" w:cs="Calibri"/>
                <w:b w:val="0"/>
                <w:bCs w:val="0"/>
                <w:color w:val="000000" w:themeColor="text1" w:themeTint="FF" w:themeShade="FF"/>
                <w:sz w:val="24"/>
                <w:szCs w:val="24"/>
              </w:rPr>
              <w:t xml:space="preserve">Result: </w:t>
            </w:r>
          </w:p>
          <w:p w:rsidR="5070B099" w:rsidP="57CA2714" w:rsidRDefault="5070B099" w14:paraId="032E8E5D" w14:textId="7BDDD964">
            <w:pPr>
              <w:pStyle w:val="Normal"/>
              <w:spacing w:line="259" w:lineRule="auto"/>
              <w:rPr>
                <w:rFonts w:ascii="Calibri" w:hAnsi="Calibri" w:eastAsia="Calibri" w:cs="Calibri"/>
                <w:b w:val="0"/>
                <w:bCs w:val="0"/>
                <w:color w:val="000000" w:themeColor="text1" w:themeTint="FF" w:themeShade="FF"/>
                <w:sz w:val="24"/>
                <w:szCs w:val="24"/>
              </w:rPr>
            </w:pPr>
            <w:r w:rsidRPr="51566D8D" w:rsidR="5070B099">
              <w:rPr>
                <w:rFonts w:ascii="Calibri" w:hAnsi="Calibri" w:eastAsia="Calibri" w:cs="Calibri"/>
                <w:b w:val="0"/>
                <w:bCs w:val="0"/>
                <w:color w:val="000000" w:themeColor="text1" w:themeTint="FF" w:themeShade="FF"/>
                <w:sz w:val="24"/>
                <w:szCs w:val="24"/>
              </w:rPr>
              <w:t xml:space="preserve">80% of </w:t>
            </w:r>
            <w:r w:rsidRPr="51566D8D" w:rsidR="5070B099">
              <w:rPr>
                <w:rFonts w:ascii="Calibri" w:hAnsi="Calibri" w:eastAsia="Calibri" w:cs="Calibri"/>
                <w:b w:val="0"/>
                <w:bCs w:val="0"/>
                <w:color w:val="000000" w:themeColor="text1" w:themeTint="FF" w:themeShade="FF"/>
                <w:sz w:val="24"/>
                <w:szCs w:val="24"/>
              </w:rPr>
              <w:t>students scored</w:t>
            </w:r>
            <w:r w:rsidRPr="51566D8D" w:rsidR="5070B099">
              <w:rPr>
                <w:rFonts w:ascii="Calibri" w:hAnsi="Calibri" w:eastAsia="Calibri" w:cs="Calibri"/>
                <w:b w:val="0"/>
                <w:bCs w:val="0"/>
                <w:color w:val="000000" w:themeColor="text1" w:themeTint="FF" w:themeShade="FF"/>
                <w:sz w:val="24"/>
                <w:szCs w:val="24"/>
              </w:rPr>
              <w:t xml:space="preserve"> 70% or higher</w:t>
            </w:r>
          </w:p>
          <w:p w:rsidR="57CA2714" w:rsidP="57CA2714" w:rsidRDefault="57CA2714" w14:paraId="3519C466" w14:textId="3D582EDA">
            <w:pPr>
              <w:pStyle w:val="Normal"/>
              <w:spacing w:line="259" w:lineRule="auto"/>
              <w:rPr>
                <w:rFonts w:ascii="Calibri" w:hAnsi="Calibri" w:eastAsia="Calibri" w:cs="Calibri"/>
                <w:b w:val="0"/>
                <w:bCs w:val="0"/>
                <w:color w:val="000000" w:themeColor="text1" w:themeTint="FF" w:themeShade="FF"/>
                <w:sz w:val="24"/>
                <w:szCs w:val="24"/>
              </w:rPr>
            </w:pPr>
          </w:p>
          <w:p w:rsidR="5070B099" w:rsidP="57CA2714" w:rsidRDefault="5070B099" w14:paraId="28CEBD1B" w14:textId="2667A1CD">
            <w:pPr>
              <w:pStyle w:val="Normal"/>
              <w:spacing w:line="259" w:lineRule="auto"/>
            </w:pPr>
            <w:r w:rsidR="5070B099">
              <w:drawing>
                <wp:inline wp14:editId="5F88B33F" wp14:anchorId="283025C0">
                  <wp:extent cx="1276350" cy="4572000"/>
                  <wp:effectExtent l="0" t="0" r="0" b="0"/>
                  <wp:docPr id="1745107191" name="" title=""/>
                  <wp:cNvGraphicFramePr>
                    <a:graphicFrameLocks noChangeAspect="1"/>
                  </wp:cNvGraphicFramePr>
                  <a:graphic>
                    <a:graphicData uri="http://schemas.openxmlformats.org/drawingml/2006/picture">
                      <pic:pic>
                        <pic:nvPicPr>
                          <pic:cNvPr id="0" name=""/>
                          <pic:cNvPicPr/>
                        </pic:nvPicPr>
                        <pic:blipFill>
                          <a:blip r:embed="Rfa5ae444befd498f">
                            <a:extLst>
                              <a:ext xmlns:a="http://schemas.openxmlformats.org/drawingml/2006/main" uri="{28A0092B-C50C-407E-A947-70E740481C1C}">
                                <a14:useLocalDpi val="0"/>
                              </a:ext>
                            </a:extLst>
                          </a:blip>
                          <a:stretch>
                            <a:fillRect/>
                          </a:stretch>
                        </pic:blipFill>
                        <pic:spPr>
                          <a:xfrm>
                            <a:off x="0" y="0"/>
                            <a:ext cx="1276350" cy="4572000"/>
                          </a:xfrm>
                          <a:prstGeom prst="rect">
                            <a:avLst/>
                          </a:prstGeom>
                        </pic:spPr>
                      </pic:pic>
                    </a:graphicData>
                  </a:graphic>
                </wp:inline>
              </w:drawing>
            </w:r>
          </w:p>
          <w:p w:rsidR="000BC967" w:rsidP="000BC967" w:rsidRDefault="000BC967" w14:paraId="3693E44E" w14:textId="1EE91CB1">
            <w:pPr>
              <w:spacing w:line="259" w:lineRule="auto"/>
              <w:rPr>
                <w:rFonts w:ascii="Calibri" w:hAnsi="Calibri" w:eastAsia="Calibri" w:cs="Calibri"/>
                <w:color w:val="000000" w:themeColor="text1"/>
                <w:sz w:val="24"/>
                <w:szCs w:val="24"/>
              </w:rPr>
            </w:pPr>
          </w:p>
          <w:p w:rsidR="000BC967" w:rsidP="000BC967" w:rsidRDefault="000BC967" w14:paraId="3CD0C356" w14:textId="4C00C64F">
            <w:pPr>
              <w:spacing w:line="259" w:lineRule="auto"/>
              <w:rPr>
                <w:rFonts w:ascii="Calibri" w:hAnsi="Calibri" w:eastAsia="Calibri" w:cs="Calibri"/>
                <w:color w:val="000000" w:themeColor="text1"/>
                <w:sz w:val="24"/>
                <w:szCs w:val="24"/>
              </w:rPr>
            </w:pPr>
          </w:p>
          <w:p w:rsidR="000BC967" w:rsidP="000BC967" w:rsidRDefault="000BC967" w14:paraId="4AC55A06" w14:textId="0F9ECAE6">
            <w:pPr>
              <w:spacing w:line="259" w:lineRule="auto"/>
              <w:rPr>
                <w:rFonts w:ascii="Calibri" w:hAnsi="Calibri" w:eastAsia="Calibri" w:cs="Calibri"/>
                <w:b/>
                <w:bCs/>
                <w:color w:val="000000" w:themeColor="text1"/>
                <w:sz w:val="24"/>
                <w:szCs w:val="24"/>
              </w:rPr>
            </w:pPr>
          </w:p>
          <w:p w:rsidR="000BC967" w:rsidP="000BC967" w:rsidRDefault="000BC967" w14:paraId="02C18DD8" w14:textId="37881488">
            <w:pPr>
              <w:spacing w:line="259" w:lineRule="auto"/>
              <w:rPr>
                <w:rFonts w:ascii="Calibri" w:hAnsi="Calibri" w:eastAsia="Calibri" w:cs="Calibri"/>
                <w:b/>
                <w:bCs/>
                <w:color w:val="000000" w:themeColor="text1"/>
                <w:sz w:val="24"/>
                <w:szCs w:val="24"/>
              </w:rPr>
            </w:pPr>
          </w:p>
        </w:tc>
      </w:tr>
      <w:tr w:rsidR="000BC967" w:rsidTr="51566D8D" w14:paraId="054664FE" w14:textId="77777777">
        <w:trPr>
          <w:trHeight w:val="420"/>
        </w:trPr>
        <w:tc>
          <w:tcPr>
            <w:tcW w:w="14526" w:type="dxa"/>
            <w:shd w:val="clear" w:color="auto" w:fill="FFC000" w:themeFill="accent4"/>
            <w:tcMar/>
          </w:tcPr>
          <w:p w:rsidR="238E5920" w:rsidP="000BC967" w:rsidRDefault="238E5920" w14:paraId="6AF770AA" w14:textId="2BD2DECA">
            <w:pPr>
              <w:jc w:val="center"/>
              <w:rPr>
                <w:rFonts w:ascii="Times New Roman" w:hAnsi="Times New Roman" w:eastAsia="Times New Roman" w:cs="Times New Roman"/>
                <w:b w:val="1"/>
                <w:bCs w:val="1"/>
                <w:color w:val="000000" w:themeColor="text1"/>
                <w:sz w:val="30"/>
                <w:szCs w:val="30"/>
              </w:rPr>
            </w:pPr>
            <w:r w:rsidRPr="55C0E444" w:rsidR="2B4EC63E">
              <w:rPr>
                <w:rFonts w:ascii="Times New Roman" w:hAnsi="Times New Roman" w:eastAsia="Times New Roman" w:cs="Times New Roman"/>
                <w:b w:val="1"/>
                <w:bCs w:val="1"/>
                <w:color w:val="000000" w:themeColor="text1" w:themeTint="FF" w:themeShade="FF"/>
                <w:sz w:val="30"/>
                <w:szCs w:val="30"/>
              </w:rPr>
              <w:t xml:space="preserve">Course or Program Assessment </w:t>
            </w:r>
            <w:r w:rsidRPr="55C0E444" w:rsidR="04A6C242">
              <w:rPr>
                <w:rFonts w:ascii="Times New Roman" w:hAnsi="Times New Roman" w:eastAsia="Times New Roman" w:cs="Times New Roman"/>
                <w:b w:val="1"/>
                <w:bCs w:val="1"/>
                <w:color w:val="000000" w:themeColor="text1" w:themeTint="FF" w:themeShade="FF"/>
                <w:sz w:val="30"/>
                <w:szCs w:val="30"/>
              </w:rPr>
              <w:t>Re</w:t>
            </w:r>
            <w:r w:rsidRPr="55C0E444" w:rsidR="2B4EC63E">
              <w:rPr>
                <w:rFonts w:ascii="Times New Roman" w:hAnsi="Times New Roman" w:eastAsia="Times New Roman" w:cs="Times New Roman"/>
                <w:b w:val="1"/>
                <w:bCs w:val="1"/>
                <w:color w:val="000000" w:themeColor="text1" w:themeTint="FF" w:themeShade="FF"/>
                <w:sz w:val="30"/>
                <w:szCs w:val="30"/>
              </w:rPr>
              <w:t>s</w:t>
            </w:r>
            <w:r w:rsidRPr="55C0E444" w:rsidR="04A6C242">
              <w:rPr>
                <w:rFonts w:ascii="Times New Roman" w:hAnsi="Times New Roman" w:eastAsia="Times New Roman" w:cs="Times New Roman"/>
                <w:b w:val="1"/>
                <w:bCs w:val="1"/>
                <w:color w:val="000000" w:themeColor="text1" w:themeTint="FF" w:themeShade="FF"/>
                <w:sz w:val="30"/>
                <w:szCs w:val="30"/>
              </w:rPr>
              <w:t xml:space="preserve">ults &amp; Evaluation Due </w:t>
            </w:r>
            <w:r w:rsidRPr="55C0E444" w:rsidR="723CEE85">
              <w:rPr>
                <w:rFonts w:ascii="Times New Roman" w:hAnsi="Times New Roman" w:eastAsia="Times New Roman" w:cs="Times New Roman"/>
                <w:b w:val="1"/>
                <w:bCs w:val="1"/>
                <w:color w:val="000000" w:themeColor="text1" w:themeTint="FF" w:themeShade="FF"/>
                <w:sz w:val="30"/>
                <w:szCs w:val="30"/>
              </w:rPr>
              <w:t>December 1</w:t>
            </w:r>
            <w:r w:rsidRPr="55C0E444" w:rsidR="3810A357">
              <w:rPr>
                <w:rFonts w:ascii="Times New Roman" w:hAnsi="Times New Roman" w:eastAsia="Times New Roman" w:cs="Times New Roman"/>
                <w:b w:val="1"/>
                <w:bCs w:val="1"/>
                <w:color w:val="000000" w:themeColor="text1" w:themeTint="FF" w:themeShade="FF"/>
                <w:sz w:val="30"/>
                <w:szCs w:val="30"/>
              </w:rPr>
              <w:t>0</w:t>
            </w:r>
            <w:r w:rsidRPr="55C0E444" w:rsidR="723CEE85">
              <w:rPr>
                <w:rFonts w:ascii="Times New Roman" w:hAnsi="Times New Roman" w:eastAsia="Times New Roman" w:cs="Times New Roman"/>
                <w:b w:val="1"/>
                <w:bCs w:val="1"/>
                <w:color w:val="000000" w:themeColor="text1" w:themeTint="FF" w:themeShade="FF"/>
                <w:sz w:val="30"/>
                <w:szCs w:val="30"/>
              </w:rPr>
              <w:t>, 202</w:t>
            </w:r>
            <w:r w:rsidRPr="55C0E444" w:rsidR="6E1581A7">
              <w:rPr>
                <w:rFonts w:ascii="Times New Roman" w:hAnsi="Times New Roman" w:eastAsia="Times New Roman" w:cs="Times New Roman"/>
                <w:b w:val="1"/>
                <w:bCs w:val="1"/>
                <w:color w:val="000000" w:themeColor="text1" w:themeTint="FF" w:themeShade="FF"/>
                <w:sz w:val="30"/>
                <w:szCs w:val="30"/>
              </w:rPr>
              <w:t>2</w:t>
            </w:r>
          </w:p>
        </w:tc>
      </w:tr>
      <w:tr w:rsidR="000BC967" w:rsidTr="51566D8D" w14:paraId="216DE764" w14:textId="77777777">
        <w:trPr>
          <w:trHeight w:val="1600"/>
        </w:trPr>
        <w:tc>
          <w:tcPr>
            <w:tcW w:w="14526" w:type="dxa"/>
            <w:tcMar/>
          </w:tcPr>
          <w:p w:rsidR="2D202CE4" w:rsidP="000BC967" w:rsidRDefault="2D202CE4" w14:paraId="738584EB" w14:textId="47C84D43">
            <w:pPr>
              <w:spacing w:line="259" w:lineRule="auto"/>
              <w:rPr>
                <w:rFonts w:ascii="Calibri" w:hAnsi="Calibri" w:eastAsia="Calibri" w:cs="Calibri"/>
                <w:b w:val="1"/>
                <w:bCs w:val="1"/>
                <w:color w:val="000000" w:themeColor="text1"/>
                <w:sz w:val="24"/>
                <w:szCs w:val="24"/>
              </w:rPr>
            </w:pPr>
            <w:r w:rsidRPr="6754B86D" w:rsidR="3EC26894">
              <w:rPr>
                <w:rFonts w:ascii="Calibri" w:hAnsi="Calibri" w:eastAsia="Calibri" w:cs="Calibri"/>
                <w:b w:val="1"/>
                <w:bCs w:val="1"/>
                <w:color w:val="000000" w:themeColor="text1" w:themeTint="FF" w:themeShade="FF"/>
                <w:sz w:val="24"/>
                <w:szCs w:val="24"/>
              </w:rPr>
              <w:t xml:space="preserve">10. What percentage of the participating students were proficient in the PLOs, MSLOs or CSLOs?  What percentage of correct answers was determined as proficient? (For example, a student </w:t>
            </w:r>
            <w:r w:rsidRPr="6754B86D" w:rsidR="3EC26894">
              <w:rPr>
                <w:rFonts w:ascii="Calibri" w:hAnsi="Calibri" w:eastAsia="Calibri" w:cs="Calibri"/>
                <w:b w:val="1"/>
                <w:bCs w:val="1"/>
                <w:color w:val="000000" w:themeColor="text1" w:themeTint="FF" w:themeShade="FF"/>
                <w:sz w:val="24"/>
                <w:szCs w:val="24"/>
              </w:rPr>
              <w:t>must</w:t>
            </w:r>
            <w:r w:rsidRPr="6754B86D" w:rsidR="3EC26894">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000BC967" w:rsidP="000BC967" w:rsidRDefault="000BC967" w14:paraId="5B8D123E" w14:textId="5EC984EB">
            <w:pPr>
              <w:rPr>
                <w:rFonts w:ascii="Times New Roman" w:hAnsi="Times New Roman" w:eastAsia="Times New Roman" w:cs="Times New Roman"/>
                <w:color w:val="000000" w:themeColor="text1"/>
                <w:sz w:val="30"/>
                <w:szCs w:val="30"/>
              </w:rPr>
            </w:pPr>
          </w:p>
          <w:p w:rsidR="000BC967" w:rsidP="000BC967" w:rsidRDefault="000BC967" w14:paraId="5D3A5FD6" w14:textId="5E3E9BAB">
            <w:pPr>
              <w:rPr>
                <w:rFonts w:ascii="Times New Roman" w:hAnsi="Times New Roman" w:eastAsia="Times New Roman" w:cs="Times New Roman"/>
                <w:color w:val="000000" w:themeColor="text1"/>
                <w:sz w:val="30"/>
                <w:szCs w:val="30"/>
              </w:rPr>
            </w:pPr>
            <w:r w:rsidRPr="51566D8D" w:rsidR="08B405A7">
              <w:rPr>
                <w:rFonts w:ascii="Times New Roman" w:hAnsi="Times New Roman" w:eastAsia="Times New Roman" w:cs="Times New Roman"/>
                <w:color w:val="000000" w:themeColor="text1" w:themeTint="FF" w:themeShade="FF"/>
                <w:sz w:val="30"/>
                <w:szCs w:val="30"/>
              </w:rPr>
              <w:t>See answer to #9</w:t>
            </w:r>
          </w:p>
          <w:p w:rsidR="000BC967" w:rsidP="000BC967" w:rsidRDefault="000BC967" w14:paraId="671C0301" w14:textId="79FC02D5">
            <w:pPr>
              <w:rPr>
                <w:rFonts w:ascii="Times New Roman" w:hAnsi="Times New Roman" w:eastAsia="Times New Roman" w:cs="Times New Roman"/>
                <w:color w:val="000000" w:themeColor="text1"/>
                <w:sz w:val="30"/>
                <w:szCs w:val="30"/>
              </w:rPr>
            </w:pPr>
          </w:p>
        </w:tc>
      </w:tr>
      <w:tr w:rsidR="000BC967" w:rsidTr="51566D8D" w14:paraId="72F4D3D9" w14:textId="77777777">
        <w:trPr>
          <w:trHeight w:val="1600"/>
        </w:trPr>
        <w:tc>
          <w:tcPr>
            <w:tcW w:w="14526" w:type="dxa"/>
            <w:tcMar/>
          </w:tcPr>
          <w:p w:rsidR="0CE068A2" w:rsidP="6842DACE" w:rsidRDefault="0CE068A2" w14:paraId="46E10862" w14:textId="38C4383C">
            <w:pPr>
              <w:pStyle w:val="Normal"/>
              <w:spacing w:line="259" w:lineRule="auto"/>
              <w:rPr>
                <w:rFonts w:ascii="Calibri" w:hAnsi="Calibri" w:eastAsia="Calibri" w:cs="Calibri"/>
                <w:b w:val="1"/>
                <w:bCs w:val="1"/>
                <w:color w:val="000000" w:themeColor="text1" w:themeTint="FF" w:themeShade="FF"/>
                <w:sz w:val="24"/>
                <w:szCs w:val="24"/>
              </w:rPr>
            </w:pPr>
            <w:r w:rsidRPr="6842DACE" w:rsidR="0CE068A2">
              <w:rPr>
                <w:rFonts w:ascii="Calibri" w:hAnsi="Calibri" w:eastAsia="Calibri" w:cs="Calibri"/>
                <w:b w:val="1"/>
                <w:bCs w:val="1"/>
                <w:color w:val="000000" w:themeColor="text1" w:themeTint="FF" w:themeShade="FF"/>
                <w:sz w:val="24"/>
                <w:szCs w:val="24"/>
              </w:rPr>
              <w:t>11. What changes/improvements were made or will be made in response to the outcomes of the assessment process?</w:t>
            </w:r>
          </w:p>
          <w:p w:rsidR="6842DACE" w:rsidP="6842DACE" w:rsidRDefault="6842DACE" w14:paraId="19BB8271" w14:textId="6F626D3B">
            <w:pPr>
              <w:pStyle w:val="Normal"/>
              <w:spacing w:line="259" w:lineRule="auto"/>
              <w:rPr>
                <w:rFonts w:ascii="Calibri" w:hAnsi="Calibri" w:eastAsia="Calibri" w:cs="Calibri"/>
                <w:b w:val="1"/>
                <w:bCs w:val="1"/>
                <w:color w:val="000000" w:themeColor="text1" w:themeTint="FF" w:themeShade="FF"/>
                <w:sz w:val="24"/>
                <w:szCs w:val="24"/>
              </w:rPr>
            </w:pPr>
          </w:p>
          <w:p w:rsidR="000BC967" w:rsidP="000BC967" w:rsidRDefault="000BC967" w14:paraId="0461DAA6" w14:textId="0133E1B2">
            <w:pPr>
              <w:rPr>
                <w:rFonts w:ascii="Times New Roman" w:hAnsi="Times New Roman" w:eastAsia="Times New Roman" w:cs="Times New Roman"/>
                <w:color w:val="000000" w:themeColor="text1"/>
                <w:sz w:val="30"/>
                <w:szCs w:val="30"/>
              </w:rPr>
            </w:pPr>
            <w:r w:rsidRPr="51566D8D" w:rsidR="1F238408">
              <w:rPr>
                <w:rFonts w:ascii="Times New Roman" w:hAnsi="Times New Roman" w:eastAsia="Times New Roman" w:cs="Times New Roman"/>
                <w:color w:val="000000" w:themeColor="text1" w:themeTint="FF" w:themeShade="FF"/>
                <w:sz w:val="30"/>
                <w:szCs w:val="30"/>
              </w:rPr>
              <w:t>Nothing changing based on results; however, will be using updated RHIT Mock Exam questions provided by AHIMA</w:t>
            </w:r>
          </w:p>
          <w:p w:rsidR="51566D8D" w:rsidP="51566D8D" w:rsidRDefault="51566D8D" w14:paraId="4F4E7A8D" w14:textId="5F4E561C">
            <w:pPr>
              <w:pStyle w:val="Normal"/>
              <w:rPr>
                <w:rFonts w:ascii="Times New Roman" w:hAnsi="Times New Roman" w:eastAsia="Times New Roman" w:cs="Times New Roman"/>
                <w:color w:val="000000" w:themeColor="text1" w:themeTint="FF" w:themeShade="FF"/>
                <w:sz w:val="30"/>
                <w:szCs w:val="30"/>
              </w:rPr>
            </w:pPr>
          </w:p>
          <w:p w:rsidR="1F238408" w:rsidP="51566D8D" w:rsidRDefault="1F238408" w14:paraId="3C0AD0CC" w14:textId="46881C14">
            <w:pPr>
              <w:pStyle w:val="Normal"/>
              <w:rPr>
                <w:rFonts w:ascii="Times New Roman" w:hAnsi="Times New Roman" w:eastAsia="Times New Roman" w:cs="Times New Roman"/>
                <w:color w:val="000000" w:themeColor="text1" w:themeTint="FF" w:themeShade="FF"/>
                <w:sz w:val="30"/>
                <w:szCs w:val="30"/>
              </w:rPr>
            </w:pPr>
            <w:hyperlink r:id="R315a6fcc8b3045ea">
              <w:r w:rsidRPr="51566D8D" w:rsidR="1F238408">
                <w:rPr>
                  <w:rStyle w:val="Hyperlink"/>
                  <w:rFonts w:ascii="Times New Roman" w:hAnsi="Times New Roman" w:eastAsia="Times New Roman" w:cs="Times New Roman"/>
                  <w:sz w:val="30"/>
                  <w:szCs w:val="30"/>
                </w:rPr>
                <w:t>https://www.ahima.org/certification-careers/certification-exams/rhit/</w:t>
              </w:r>
            </w:hyperlink>
          </w:p>
          <w:p w:rsidR="51566D8D" w:rsidP="51566D8D" w:rsidRDefault="51566D8D" w14:paraId="5EE91E8B" w14:textId="3EA7C702">
            <w:pPr>
              <w:pStyle w:val="Normal"/>
              <w:rPr>
                <w:rFonts w:ascii="Times New Roman" w:hAnsi="Times New Roman" w:eastAsia="Times New Roman" w:cs="Times New Roman"/>
                <w:color w:val="000000" w:themeColor="text1" w:themeTint="FF" w:themeShade="FF"/>
                <w:sz w:val="30"/>
                <w:szCs w:val="30"/>
              </w:rPr>
            </w:pPr>
          </w:p>
          <w:p w:rsidR="000BC967" w:rsidP="000BC967" w:rsidRDefault="000BC967" w14:paraId="55544FD7" w14:textId="07E1E5D4">
            <w:pPr>
              <w:rPr>
                <w:rFonts w:ascii="Times New Roman" w:hAnsi="Times New Roman" w:eastAsia="Times New Roman" w:cs="Times New Roman"/>
                <w:color w:val="000000" w:themeColor="text1"/>
                <w:sz w:val="30"/>
                <w:szCs w:val="30"/>
              </w:rPr>
            </w:pPr>
          </w:p>
          <w:p w:rsidR="000BC967" w:rsidP="000BC967" w:rsidRDefault="000BC967" w14:paraId="3CD501DD" w14:textId="4CA8EA3E">
            <w:pPr>
              <w:rPr>
                <w:rFonts w:ascii="Times New Roman" w:hAnsi="Times New Roman" w:eastAsia="Times New Roman" w:cs="Times New Roman"/>
                <w:color w:val="000000" w:themeColor="text1"/>
                <w:sz w:val="30"/>
                <w:szCs w:val="30"/>
              </w:rPr>
            </w:pPr>
          </w:p>
          <w:p w:rsidR="000BC967" w:rsidP="000BC967" w:rsidRDefault="000BC967" w14:paraId="3FC6A380" w14:textId="6F3EB134">
            <w:pPr>
              <w:rPr>
                <w:rFonts w:ascii="Times New Roman" w:hAnsi="Times New Roman" w:eastAsia="Times New Roman" w:cs="Times New Roman"/>
                <w:color w:val="000000" w:themeColor="text1"/>
                <w:sz w:val="30"/>
                <w:szCs w:val="30"/>
              </w:rPr>
            </w:pPr>
          </w:p>
        </w:tc>
      </w:tr>
      <w:tr w:rsidR="000BC967" w:rsidTr="51566D8D" w14:paraId="4CC62927" w14:textId="77777777">
        <w:trPr>
          <w:trHeight w:val="1600"/>
        </w:trPr>
        <w:tc>
          <w:tcPr>
            <w:tcW w:w="14526" w:type="dxa"/>
            <w:tcMar/>
          </w:tcPr>
          <w:p w:rsidR="29CBAD68" w:rsidP="000BC967" w:rsidRDefault="29CBAD68" w14:paraId="0B454D87" w14:textId="2333ADB2">
            <w:pPr>
              <w:spacing w:after="160" w:line="259" w:lineRule="auto"/>
              <w:rPr>
                <w:rFonts w:ascii="Times New Roman" w:hAnsi="Times New Roman" w:eastAsia="Times New Roman" w:cs="Times New Roman"/>
                <w:color w:val="000000" w:themeColor="text1"/>
                <w:sz w:val="24"/>
                <w:szCs w:val="24"/>
              </w:rPr>
            </w:pPr>
            <w:r w:rsidRPr="000BC967">
              <w:rPr>
                <w:rFonts w:ascii="Times New Roman" w:hAnsi="Times New Roman" w:eastAsia="Times New Roman" w:cs="Times New Roman"/>
                <w:b/>
                <w:bCs/>
                <w:i/>
                <w:iCs/>
                <w:color w:val="000000" w:themeColor="text1"/>
                <w:sz w:val="24"/>
                <w:szCs w:val="24"/>
              </w:rPr>
              <w:t>Feel free to attach your PLOs OR MSLOs and CSLOs and indicate which were assessed</w:t>
            </w:r>
          </w:p>
          <w:p w:rsidR="000BC967" w:rsidP="000BC967" w:rsidRDefault="000BC967" w14:paraId="441137F5" w14:textId="65EE5134">
            <w:pPr>
              <w:spacing w:line="259" w:lineRule="auto"/>
              <w:rPr>
                <w:rFonts w:ascii="Calibri" w:hAnsi="Calibri" w:eastAsia="Calibri" w:cs="Calibri"/>
                <w:b/>
                <w:bCs/>
                <w:color w:val="000000" w:themeColor="text1"/>
                <w:sz w:val="24"/>
                <w:szCs w:val="24"/>
              </w:rPr>
            </w:pPr>
          </w:p>
        </w:tc>
      </w:tr>
    </w:tbl>
    <w:p w:rsidR="7DB37E02" w:rsidP="7DB37E02" w:rsidRDefault="7DB37E02" w14:paraId="7053B22A" w14:textId="42267D82"/>
    <w:tbl>
      <w:tblPr>
        <w:tblStyle w:val="TableGrid"/>
        <w:tblW w:w="0" w:type="auto"/>
        <w:tblLayout w:type="fixed"/>
        <w:tblLook w:val="06A0" w:firstRow="1" w:lastRow="0" w:firstColumn="1" w:lastColumn="0" w:noHBand="1" w:noVBand="1"/>
      </w:tblPr>
      <w:tblGrid>
        <w:gridCol w:w="2310"/>
        <w:gridCol w:w="2505"/>
        <w:gridCol w:w="2760"/>
        <w:gridCol w:w="2490"/>
        <w:gridCol w:w="840"/>
        <w:gridCol w:w="3495"/>
      </w:tblGrid>
      <w:tr w:rsidR="070D2A87" w:rsidTr="3FEA9BEA" w14:paraId="0E02A350">
        <w:tc>
          <w:tcPr>
            <w:tcW w:w="14400" w:type="dxa"/>
            <w:gridSpan w:val="6"/>
            <w:shd w:val="clear" w:color="auto" w:fill="385623" w:themeFill="accent6" w:themeFillShade="80"/>
            <w:tcMar/>
          </w:tcPr>
          <w:p w:rsidR="0BAB019D" w:rsidP="070D2A87" w:rsidRDefault="0BAB019D" w14:paraId="6C3F49F7" w14:textId="00121D99">
            <w:pPr>
              <w:pStyle w:val="Normal"/>
              <w:bidi w:val="0"/>
              <w:spacing w:before="0" w:beforeAutospacing="off" w:after="0" w:afterAutospacing="off" w:line="259" w:lineRule="auto"/>
              <w:ind w:left="0" w:right="0"/>
              <w:jc w:val="center"/>
              <w:rPr>
                <w:b w:val="1"/>
                <w:bCs w:val="1"/>
                <w:color w:val="FFFFFF" w:themeColor="background1" w:themeTint="FF" w:themeShade="FF"/>
                <w:sz w:val="44"/>
                <w:szCs w:val="44"/>
              </w:rPr>
            </w:pPr>
            <w:r w:rsidRPr="070D2A87" w:rsidR="0BAB019D">
              <w:rPr>
                <w:b w:val="1"/>
                <w:bCs w:val="1"/>
                <w:color w:val="FFFFFF" w:themeColor="background1" w:themeTint="FF" w:themeShade="FF"/>
                <w:sz w:val="44"/>
                <w:szCs w:val="44"/>
              </w:rPr>
              <w:t>Feedback Rubric</w:t>
            </w:r>
          </w:p>
        </w:tc>
      </w:tr>
      <w:tr w:rsidR="070D2A87" w:rsidTr="3FEA9BEA" w14:paraId="5E8CF363">
        <w:trPr>
          <w:trHeight w:val="450"/>
        </w:trPr>
        <w:tc>
          <w:tcPr>
            <w:tcW w:w="2310" w:type="dxa"/>
            <w:shd w:val="clear" w:color="auto" w:fill="FFC000" w:themeFill="accent4"/>
            <w:tcMar/>
          </w:tcPr>
          <w:p w:rsidR="342FA684" w:rsidP="070D2A87" w:rsidRDefault="342FA684" w14:paraId="73A7DDBF" w14:textId="79DA3A3F">
            <w:pPr>
              <w:pStyle w:val="Normal"/>
              <w:spacing w:before="120" w:beforeAutospacing="off"/>
              <w:jc w:val="center"/>
              <w:rPr>
                <w:b w:val="1"/>
                <w:bCs w:val="1"/>
              </w:rPr>
            </w:pPr>
            <w:r w:rsidRPr="070D2A87" w:rsidR="342FA684">
              <w:rPr>
                <w:b w:val="1"/>
                <w:bCs w:val="1"/>
              </w:rPr>
              <w:t>Category</w:t>
            </w:r>
          </w:p>
        </w:tc>
        <w:tc>
          <w:tcPr>
            <w:tcW w:w="2505" w:type="dxa"/>
            <w:shd w:val="clear" w:color="auto" w:fill="FFC000" w:themeFill="accent4"/>
            <w:tcMar/>
          </w:tcPr>
          <w:p w:rsidR="342FA684" w:rsidP="070D2A87" w:rsidRDefault="342FA684" w14:paraId="6F18D27D" w14:textId="4910609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1 - Developing</w:t>
            </w:r>
          </w:p>
        </w:tc>
        <w:tc>
          <w:tcPr>
            <w:tcW w:w="2760" w:type="dxa"/>
            <w:shd w:val="clear" w:color="auto" w:fill="FFC000" w:themeFill="accent4"/>
            <w:tcMar/>
          </w:tcPr>
          <w:p w:rsidR="342FA684" w:rsidP="070D2A87" w:rsidRDefault="342FA684" w14:paraId="6D35F1AC" w14:textId="615DBE65">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 – Satisfactory</w:t>
            </w:r>
          </w:p>
        </w:tc>
        <w:tc>
          <w:tcPr>
            <w:tcW w:w="2490" w:type="dxa"/>
            <w:shd w:val="clear" w:color="auto" w:fill="FFC000" w:themeFill="accent4"/>
            <w:tcMar/>
          </w:tcPr>
          <w:p w:rsidR="342FA684" w:rsidP="070D2A87" w:rsidRDefault="342FA684" w14:paraId="2688E749" w14:textId="0A7B794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3 - Exemplary</w:t>
            </w:r>
          </w:p>
        </w:tc>
        <w:tc>
          <w:tcPr>
            <w:tcW w:w="840" w:type="dxa"/>
            <w:shd w:val="clear" w:color="auto" w:fill="FFC000" w:themeFill="accent4"/>
            <w:tcMar/>
          </w:tcPr>
          <w:p w:rsidR="28E0D708" w:rsidP="070D2A87" w:rsidRDefault="28E0D708" w14:paraId="54529540" w14:textId="6B003C27">
            <w:pPr>
              <w:pStyle w:val="Normal"/>
              <w:spacing w:before="120" w:beforeAutospacing="off"/>
              <w:jc w:val="center"/>
              <w:rPr>
                <w:b w:val="1"/>
                <w:bCs w:val="1"/>
              </w:rPr>
            </w:pPr>
            <w:r w:rsidRPr="070D2A87" w:rsidR="28E0D708">
              <w:rPr>
                <w:b w:val="1"/>
                <w:bCs w:val="1"/>
              </w:rPr>
              <w:t>Scor</w:t>
            </w:r>
            <w:r w:rsidRPr="070D2A87" w:rsidR="1E52A8F3">
              <w:rPr>
                <w:b w:val="1"/>
                <w:bCs w:val="1"/>
              </w:rPr>
              <w:t>e</w:t>
            </w:r>
          </w:p>
        </w:tc>
        <w:tc>
          <w:tcPr>
            <w:tcW w:w="3495" w:type="dxa"/>
            <w:shd w:val="clear" w:color="auto" w:fill="FFC000" w:themeFill="accent4"/>
            <w:tcMar/>
          </w:tcPr>
          <w:p w:rsidR="28E0D708" w:rsidP="070D2A87" w:rsidRDefault="28E0D708" w14:paraId="7A36C6D6" w14:textId="19594C85">
            <w:pPr>
              <w:pStyle w:val="Normal"/>
              <w:spacing w:before="120" w:beforeAutospacing="off"/>
              <w:jc w:val="center"/>
              <w:rPr>
                <w:b w:val="1"/>
                <w:bCs w:val="1"/>
              </w:rPr>
            </w:pPr>
            <w:r w:rsidRPr="070D2A87" w:rsidR="28E0D708">
              <w:rPr>
                <w:b w:val="1"/>
                <w:bCs w:val="1"/>
              </w:rPr>
              <w:t>Feedback</w:t>
            </w:r>
          </w:p>
        </w:tc>
      </w:tr>
      <w:tr w:rsidR="070D2A87" w:rsidTr="3FEA9BEA" w14:paraId="7B20ED57">
        <w:tc>
          <w:tcPr>
            <w:tcW w:w="2310" w:type="dxa"/>
            <w:tcMar/>
          </w:tcPr>
          <w:p w:rsidR="342FA684" w:rsidP="070D2A87" w:rsidRDefault="342FA684" w14:paraId="3EFBB998" w14:textId="0F07514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Outcomes Identified</w:t>
            </w:r>
          </w:p>
        </w:tc>
        <w:tc>
          <w:tcPr>
            <w:tcW w:w="2505" w:type="dxa"/>
            <w:tcMar/>
          </w:tcPr>
          <w:p w:rsidR="342FA684" w:rsidP="070D2A87" w:rsidRDefault="342FA684" w14:paraId="551D657F" w14:textId="2ECBFDB1">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not clear</w:t>
            </w:r>
          </w:p>
        </w:tc>
        <w:tc>
          <w:tcPr>
            <w:tcW w:w="2760" w:type="dxa"/>
            <w:tcMar/>
          </w:tcPr>
          <w:p w:rsidR="342FA684" w:rsidP="070D2A87" w:rsidRDefault="342FA684" w14:paraId="15148BFE" w14:textId="56A3B809">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identified but were not aligned to CSLOs</w:t>
            </w:r>
          </w:p>
        </w:tc>
        <w:tc>
          <w:tcPr>
            <w:tcW w:w="2490" w:type="dxa"/>
            <w:shd w:val="clear" w:color="auto" w:fill="B4C6E7" w:themeFill="accent1" w:themeFillTint="66"/>
            <w:tcMar/>
          </w:tcPr>
          <w:p w:rsidR="342FA684" w:rsidP="070D2A87" w:rsidRDefault="342FA684" w14:paraId="64166148" w14:textId="0C0F0754">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PLOs or MSLOs to be assessed were identified and aligned with CSLOs</w:t>
            </w:r>
          </w:p>
        </w:tc>
        <w:tc>
          <w:tcPr>
            <w:tcW w:w="840" w:type="dxa"/>
            <w:tcMar/>
          </w:tcPr>
          <w:p w:rsidR="070D2A87" w:rsidP="070D2A87" w:rsidRDefault="070D2A87" w14:paraId="5E4EB85E" w14:textId="40FB4509">
            <w:pPr>
              <w:pStyle w:val="Normal"/>
              <w:rPr>
                <w:b w:val="1"/>
                <w:bCs w:val="1"/>
              </w:rPr>
            </w:pPr>
          </w:p>
        </w:tc>
        <w:tc>
          <w:tcPr>
            <w:tcW w:w="3495" w:type="dxa"/>
            <w:tcMar/>
          </w:tcPr>
          <w:p w:rsidR="070D2A87" w:rsidP="070D2A87" w:rsidRDefault="070D2A87" w14:paraId="19701244" w14:textId="7C5225BB">
            <w:pPr>
              <w:pStyle w:val="Normal"/>
              <w:rPr>
                <w:b w:val="1"/>
                <w:bCs w:val="1"/>
              </w:rPr>
            </w:pPr>
          </w:p>
        </w:tc>
      </w:tr>
      <w:tr w:rsidR="070D2A87" w:rsidTr="3FEA9BEA" w14:paraId="6CDDF493">
        <w:tc>
          <w:tcPr>
            <w:tcW w:w="2310" w:type="dxa"/>
            <w:shd w:val="clear" w:color="auto" w:fill="D9D9D9" w:themeFill="background1" w:themeFillShade="D9"/>
            <w:tcMar/>
          </w:tcPr>
          <w:p w:rsidR="342FA684" w:rsidP="070D2A87" w:rsidRDefault="342FA684" w14:paraId="5FC35DCB" w14:textId="6358A460">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Scope of Assessment</w:t>
            </w:r>
          </w:p>
        </w:tc>
        <w:tc>
          <w:tcPr>
            <w:tcW w:w="2505" w:type="dxa"/>
            <w:shd w:val="clear" w:color="auto" w:fill="D9D9D9" w:themeFill="background1" w:themeFillShade="D9"/>
            <w:tcMar/>
          </w:tcPr>
          <w:p w:rsidR="342FA684" w:rsidP="070D2A87" w:rsidRDefault="342FA684" w14:paraId="207D6C44" w14:textId="498C8355">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only one faculty member and/or to one class</w:t>
            </w:r>
          </w:p>
        </w:tc>
        <w:tc>
          <w:tcPr>
            <w:tcW w:w="2760" w:type="dxa"/>
            <w:shd w:val="clear" w:color="auto" w:fill="D9D9D9" w:themeFill="background1" w:themeFillShade="D9"/>
            <w:tcMar/>
          </w:tcPr>
          <w:p w:rsidR="342FA684" w:rsidP="070D2A87" w:rsidRDefault="342FA684" w14:paraId="1D3B44C5" w14:textId="5D9579BF">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a few faculty members to several classes, but it was not district-wide</w:t>
            </w:r>
          </w:p>
        </w:tc>
        <w:tc>
          <w:tcPr>
            <w:tcW w:w="2490" w:type="dxa"/>
            <w:shd w:val="clear" w:color="auto" w:fill="B4C6E7" w:themeFill="accent1" w:themeFillTint="66"/>
            <w:tcMar/>
          </w:tcPr>
          <w:p w:rsidR="342FA684" w:rsidP="070D2A87" w:rsidRDefault="342FA684" w14:paraId="79457588" w14:textId="66CFC388">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district-wide by all faculty teaching the course.</w:t>
            </w:r>
          </w:p>
        </w:tc>
        <w:tc>
          <w:tcPr>
            <w:tcW w:w="840" w:type="dxa"/>
            <w:shd w:val="clear" w:color="auto" w:fill="D9D9D9" w:themeFill="background1" w:themeFillShade="D9"/>
            <w:tcMar/>
          </w:tcPr>
          <w:p w:rsidR="070D2A87" w:rsidP="070D2A87" w:rsidRDefault="070D2A87" w14:paraId="19713FFA" w14:textId="40FB4509">
            <w:pPr>
              <w:pStyle w:val="Normal"/>
              <w:rPr>
                <w:b w:val="1"/>
                <w:bCs w:val="1"/>
              </w:rPr>
            </w:pPr>
          </w:p>
        </w:tc>
        <w:tc>
          <w:tcPr>
            <w:tcW w:w="3495" w:type="dxa"/>
            <w:shd w:val="clear" w:color="auto" w:fill="D9D9D9" w:themeFill="background1" w:themeFillShade="D9"/>
            <w:tcMar/>
          </w:tcPr>
          <w:p w:rsidR="070D2A87" w:rsidP="070D2A87" w:rsidRDefault="070D2A87" w14:paraId="4B802809" w14:textId="7D560EC5">
            <w:pPr>
              <w:pStyle w:val="Normal"/>
              <w:rPr>
                <w:b w:val="1"/>
                <w:bCs w:val="1"/>
              </w:rPr>
            </w:pPr>
          </w:p>
        </w:tc>
      </w:tr>
      <w:tr w:rsidR="070D2A87" w:rsidTr="3FEA9BEA" w14:paraId="67CC7996">
        <w:tc>
          <w:tcPr>
            <w:tcW w:w="2310" w:type="dxa"/>
            <w:tcMar/>
          </w:tcPr>
          <w:p w:rsidR="342FA684" w:rsidP="070D2A87" w:rsidRDefault="342FA684" w14:paraId="5E70C83A" w14:textId="0BBC4CB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Quality of Assessment</w:t>
            </w:r>
          </w:p>
        </w:tc>
        <w:tc>
          <w:tcPr>
            <w:tcW w:w="2505" w:type="dxa"/>
            <w:tcMar/>
          </w:tcPr>
          <w:p w:rsidR="342FA684" w:rsidP="070D2A87" w:rsidRDefault="342FA684" w14:paraId="4C7A321D" w14:textId="7D879E3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did not have articulated criteria for assessment of knowledge, skills, and attitudes (e.g., rubrics, exemplary work).</w:t>
            </w:r>
          </w:p>
        </w:tc>
        <w:tc>
          <w:tcPr>
            <w:tcW w:w="2760" w:type="dxa"/>
            <w:tcMar/>
          </w:tcPr>
          <w:p w:rsidR="342FA684" w:rsidP="070D2A87" w:rsidRDefault="342FA684" w14:paraId="47F61F09" w14:textId="399CB2C4">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somewhat articulated criteria for assessment of knowledge, skills, and attitudes (e.g., rubrics, exemplary work).</w:t>
            </w:r>
          </w:p>
        </w:tc>
        <w:tc>
          <w:tcPr>
            <w:tcW w:w="2490" w:type="dxa"/>
            <w:shd w:val="clear" w:color="auto" w:fill="B4C6E7" w:themeFill="accent1" w:themeFillTint="66"/>
            <w:tcMar/>
          </w:tcPr>
          <w:p w:rsidR="342FA684" w:rsidP="070D2A87" w:rsidRDefault="342FA684" w14:paraId="65E56A51" w14:textId="3D1EC6BA">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clearly articulated criteria for assessment of knowledge, skills, and attitudes (e.g., rubrics, exemplary work).</w:t>
            </w:r>
          </w:p>
        </w:tc>
        <w:tc>
          <w:tcPr>
            <w:tcW w:w="840" w:type="dxa"/>
            <w:tcMar/>
          </w:tcPr>
          <w:p w:rsidR="070D2A87" w:rsidP="070D2A87" w:rsidRDefault="070D2A87" w14:paraId="76261918" w14:textId="7A40F89D">
            <w:pPr>
              <w:pStyle w:val="Normal"/>
              <w:rPr>
                <w:b w:val="1"/>
                <w:bCs w:val="1"/>
              </w:rPr>
            </w:pPr>
          </w:p>
        </w:tc>
        <w:tc>
          <w:tcPr>
            <w:tcW w:w="3495" w:type="dxa"/>
            <w:tcMar/>
          </w:tcPr>
          <w:p w:rsidR="070D2A87" w:rsidP="070D2A87" w:rsidRDefault="070D2A87" w14:paraId="3183FADC" w14:textId="5590CE60">
            <w:pPr>
              <w:pStyle w:val="Normal"/>
              <w:rPr>
                <w:b w:val="1"/>
                <w:bCs w:val="1"/>
              </w:rPr>
            </w:pPr>
          </w:p>
        </w:tc>
      </w:tr>
      <w:tr w:rsidR="070D2A87" w:rsidTr="3FEA9BEA" w14:paraId="7FEF206D">
        <w:tc>
          <w:tcPr>
            <w:tcW w:w="2310" w:type="dxa"/>
            <w:shd w:val="clear" w:color="auto" w:fill="D9D9D9" w:themeFill="background1" w:themeFillShade="D9"/>
            <w:tcMar/>
          </w:tcPr>
          <w:p w:rsidR="342FA684" w:rsidP="070D2A87" w:rsidRDefault="342FA684" w14:paraId="626D5BF9" w14:textId="70B6369A">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Interpreting Results</w:t>
            </w:r>
          </w:p>
        </w:tc>
        <w:tc>
          <w:tcPr>
            <w:tcW w:w="2505" w:type="dxa"/>
            <w:shd w:val="clear" w:color="auto" w:fill="D9D9D9" w:themeFill="background1" w:themeFillShade="D9"/>
            <w:tcMar/>
          </w:tcPr>
          <w:p w:rsidR="342FA684" w:rsidP="070D2A87" w:rsidRDefault="342FA684" w14:paraId="096E8F63" w14:textId="3C5782ED">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not provided.</w:t>
            </w:r>
          </w:p>
        </w:tc>
        <w:tc>
          <w:tcPr>
            <w:tcW w:w="2760" w:type="dxa"/>
            <w:shd w:val="clear" w:color="auto" w:fill="B4C6E7" w:themeFill="accent1" w:themeFillTint="66"/>
            <w:tcMar/>
          </w:tcPr>
          <w:p w:rsidR="342FA684" w:rsidP="070D2A87" w:rsidRDefault="342FA684" w14:paraId="4C6202E4" w14:textId="5D73EF0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provided and there was evidence that the results were somewhat analyzed</w:t>
            </w:r>
          </w:p>
        </w:tc>
        <w:tc>
          <w:tcPr>
            <w:tcW w:w="2490" w:type="dxa"/>
            <w:shd w:val="clear" w:color="auto" w:fill="D9D9D9" w:themeFill="background1" w:themeFillShade="D9"/>
            <w:tcMar/>
          </w:tcPr>
          <w:p w:rsidR="342FA684" w:rsidP="070D2A87" w:rsidRDefault="342FA684" w14:paraId="2D82EBD9" w14:textId="544DB50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provided and there was evidence that the results were analyzed in depth</w:t>
            </w:r>
          </w:p>
        </w:tc>
        <w:tc>
          <w:tcPr>
            <w:tcW w:w="840" w:type="dxa"/>
            <w:shd w:val="clear" w:color="auto" w:fill="D9D9D9" w:themeFill="background1" w:themeFillShade="D9"/>
            <w:tcMar/>
          </w:tcPr>
          <w:p w:rsidR="070D2A87" w:rsidP="070D2A87" w:rsidRDefault="070D2A87" w14:paraId="1C7A222F" w14:textId="60AB1D07">
            <w:pPr>
              <w:pStyle w:val="Normal"/>
              <w:rPr>
                <w:b w:val="1"/>
                <w:bCs w:val="1"/>
              </w:rPr>
            </w:pPr>
          </w:p>
        </w:tc>
        <w:tc>
          <w:tcPr>
            <w:tcW w:w="3495" w:type="dxa"/>
            <w:shd w:val="clear" w:color="auto" w:fill="D9D9D9" w:themeFill="background1" w:themeFillShade="D9"/>
            <w:tcMar/>
          </w:tcPr>
          <w:p w:rsidR="070D2A87" w:rsidP="3FEA9BEA" w:rsidRDefault="070D2A87" w14:paraId="265768F4" w14:textId="097CD6FC">
            <w:pPr>
              <w:pStyle w:val="Normal"/>
              <w:bidi w:val="0"/>
              <w:spacing w:before="0" w:beforeAutospacing="off" w:after="0" w:afterAutospacing="off" w:line="259" w:lineRule="auto"/>
              <w:ind w:left="0" w:right="0"/>
              <w:jc w:val="left"/>
              <w:rPr>
                <w:b w:val="1"/>
                <w:bCs w:val="1"/>
              </w:rPr>
            </w:pPr>
            <w:r w:rsidRPr="3FEA9BEA" w:rsidR="10A07A3B">
              <w:rPr>
                <w:b w:val="1"/>
                <w:bCs w:val="1"/>
              </w:rPr>
              <w:t>Was there an analyzation of why 20% of students didn’t score in the proficient range? (</w:t>
            </w:r>
            <w:r w:rsidRPr="3FEA9BEA" w:rsidR="64AB2613">
              <w:rPr>
                <w:b w:val="1"/>
                <w:bCs w:val="1"/>
              </w:rPr>
              <w:t>We were curious as to if it was due to poor attendance, poor test taking skills, lack of knowledge?)</w:t>
            </w:r>
          </w:p>
        </w:tc>
      </w:tr>
      <w:tr w:rsidR="070D2A87" w:rsidTr="3FEA9BEA" w14:paraId="2F82B790">
        <w:tc>
          <w:tcPr>
            <w:tcW w:w="2310" w:type="dxa"/>
            <w:tcMar/>
          </w:tcPr>
          <w:p w:rsidR="342FA684" w:rsidP="070D2A87" w:rsidRDefault="342FA684" w14:paraId="1038CA26" w14:textId="62907609">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Reflection and Future Action</w:t>
            </w:r>
          </w:p>
        </w:tc>
        <w:tc>
          <w:tcPr>
            <w:tcW w:w="2505" w:type="dxa"/>
            <w:tcMar/>
          </w:tcPr>
          <w:p w:rsidR="342FA684" w:rsidP="070D2A87" w:rsidRDefault="342FA684" w14:paraId="35604B6B" w14:textId="69DAA3F3">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not apparent and no changes and/or improvements based on them were identified.</w:t>
            </w:r>
          </w:p>
        </w:tc>
        <w:tc>
          <w:tcPr>
            <w:tcW w:w="2760" w:type="dxa"/>
            <w:shd w:val="clear" w:color="auto" w:fill="B4C6E7" w:themeFill="accent1" w:themeFillTint="66"/>
            <w:tcMar/>
          </w:tcPr>
          <w:p w:rsidR="342FA684" w:rsidP="070D2A87" w:rsidRDefault="342FA684" w14:paraId="061D0DA8" w14:textId="10D8B338">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somewhat clear and one change and/or improvements based on them was identified.</w:t>
            </w:r>
          </w:p>
        </w:tc>
        <w:tc>
          <w:tcPr>
            <w:tcW w:w="2490" w:type="dxa"/>
            <w:tcMar/>
          </w:tcPr>
          <w:p w:rsidR="342FA684" w:rsidP="070D2A87" w:rsidRDefault="342FA684" w14:paraId="146A0C0F" w14:textId="26D903A1">
            <w:pPr>
              <w:pStyle w:val="Normal"/>
              <w:rPr>
                <w:rFonts w:ascii="Calibri" w:hAnsi="Calibri" w:eastAsia="Calibri" w:cs="Calibri"/>
                <w:noProof w:val="0"/>
                <w:sz w:val="22"/>
                <w:szCs w:val="22"/>
                <w:lang w:val="en-US"/>
              </w:rPr>
            </w:pPr>
            <w:r w:rsidRPr="3FEA9BEA" w:rsidR="29F8DBC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reflection</w:t>
            </w:r>
            <w:r w:rsidRPr="3FEA9BEA"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of the results of the assessment was clear and several changes and/or improvements based on them were identified.</w:t>
            </w:r>
          </w:p>
        </w:tc>
        <w:tc>
          <w:tcPr>
            <w:tcW w:w="840" w:type="dxa"/>
            <w:tcMar/>
          </w:tcPr>
          <w:p w:rsidR="070D2A87" w:rsidP="070D2A87" w:rsidRDefault="070D2A87" w14:paraId="11CFEEE2" w14:textId="738C6E38">
            <w:pPr>
              <w:pStyle w:val="Normal"/>
              <w:rPr>
                <w:b w:val="1"/>
                <w:bCs w:val="1"/>
              </w:rPr>
            </w:pPr>
          </w:p>
        </w:tc>
        <w:tc>
          <w:tcPr>
            <w:tcW w:w="3495" w:type="dxa"/>
            <w:tcMar/>
          </w:tcPr>
          <w:p w:rsidR="070D2A87" w:rsidP="070D2A87" w:rsidRDefault="070D2A87" w14:paraId="3DF1DA2E" w14:textId="39F92154">
            <w:pPr>
              <w:pStyle w:val="Normal"/>
              <w:rPr>
                <w:b w:val="1"/>
                <w:bCs w:val="1"/>
              </w:rPr>
            </w:pPr>
            <w:r w:rsidRPr="3FEA9BEA" w:rsidR="43EF5F92">
              <w:rPr>
                <w:b w:val="1"/>
                <w:bCs w:val="1"/>
              </w:rPr>
              <w:t>Will a goal of increasing the 80%</w:t>
            </w:r>
            <w:r w:rsidRPr="3FEA9BEA" w:rsidR="7E04C582">
              <w:rPr>
                <w:b w:val="1"/>
                <w:bCs w:val="1"/>
              </w:rPr>
              <w:t xml:space="preserve"> of students</w:t>
            </w:r>
            <w:r w:rsidRPr="3FEA9BEA" w:rsidR="43EF5F92">
              <w:rPr>
                <w:b w:val="1"/>
                <w:bCs w:val="1"/>
              </w:rPr>
              <w:t xml:space="preserve"> </w:t>
            </w:r>
            <w:r w:rsidRPr="3FEA9BEA" w:rsidR="43EF5F92">
              <w:rPr>
                <w:b w:val="1"/>
                <w:bCs w:val="1"/>
              </w:rPr>
              <w:t>scoring as pr</w:t>
            </w:r>
            <w:r w:rsidRPr="3FEA9BEA" w:rsidR="4DBD0D2D">
              <w:rPr>
                <w:b w:val="1"/>
                <w:bCs w:val="1"/>
              </w:rPr>
              <w:t xml:space="preserve">oficient be set? </w:t>
            </w:r>
          </w:p>
        </w:tc>
      </w:tr>
      <w:tr w:rsidR="070D2A87" w:rsidTr="3FEA9BEA" w14:paraId="48219631">
        <w:trPr>
          <w:trHeight w:val="3165"/>
        </w:trPr>
        <w:tc>
          <w:tcPr>
            <w:tcW w:w="14400" w:type="dxa"/>
            <w:gridSpan w:val="6"/>
            <w:shd w:val="clear" w:color="auto" w:fill="D9D9D9" w:themeFill="background1" w:themeFillShade="D9"/>
            <w:tcMar/>
          </w:tcPr>
          <w:p w:rsidR="342FA684" w:rsidP="070D2A87" w:rsidRDefault="342FA684" w14:paraId="74EC0807" w14:textId="6258CAD8">
            <w:pPr>
              <w:pStyle w:val="Normal"/>
              <w:rPr>
                <w:b w:val="1"/>
                <w:bCs w:val="1"/>
              </w:rPr>
            </w:pPr>
            <w:r w:rsidRPr="070D2A87" w:rsidR="342FA684">
              <w:rPr>
                <w:b w:val="1"/>
                <w:bCs w:val="1"/>
              </w:rPr>
              <w:t xml:space="preserve">Additional Comments: </w:t>
            </w:r>
          </w:p>
          <w:p w:rsidR="070D2A87" w:rsidP="3FEA9BEA" w:rsidRDefault="070D2A87" w14:paraId="42AD798A" w14:textId="00E1AC45">
            <w:pPr>
              <w:pStyle w:val="Normal"/>
              <w:rPr>
                <w:b w:val="1"/>
                <w:bCs w:val="1"/>
              </w:rPr>
            </w:pPr>
            <w:r w:rsidRPr="3FEA9BEA" w:rsidR="003CBB7A">
              <w:rPr>
                <w:b w:val="1"/>
                <w:bCs w:val="1"/>
              </w:rPr>
              <w:t xml:space="preserve">Good job. Just a few notes: </w:t>
            </w:r>
          </w:p>
          <w:p w:rsidR="7EF21D16" w:rsidP="3FEA9BEA" w:rsidRDefault="7EF21D16" w14:paraId="7816EC12" w14:textId="2A46FC46">
            <w:pPr>
              <w:pStyle w:val="ListParagraph"/>
              <w:numPr>
                <w:ilvl w:val="0"/>
                <w:numId w:val="2"/>
              </w:numPr>
              <w:rPr/>
            </w:pPr>
            <w:r w:rsidR="7EF21D16">
              <w:rPr/>
              <w:t xml:space="preserve">80% of students scoring in the proficient range is very good. </w:t>
            </w:r>
          </w:p>
          <w:p w:rsidR="1EA419D0" w:rsidP="3FEA9BEA" w:rsidRDefault="1EA419D0" w14:paraId="49B96BAF" w14:textId="3B3D85F2">
            <w:pPr>
              <w:pStyle w:val="ListParagraph"/>
              <w:numPr>
                <w:ilvl w:val="0"/>
                <w:numId w:val="2"/>
              </w:numPr>
              <w:bidi w:val="0"/>
              <w:spacing w:before="0" w:beforeAutospacing="off" w:after="0" w:afterAutospacing="off" w:line="259" w:lineRule="auto"/>
              <w:ind w:left="720" w:right="0" w:hanging="360"/>
              <w:jc w:val="left"/>
              <w:rPr/>
            </w:pPr>
            <w:r w:rsidR="1EA419D0">
              <w:rPr/>
              <w:t xml:space="preserve">Are students who do not score in the proficient range encouraged to get tutoring or </w:t>
            </w:r>
            <w:r w:rsidR="0F2EF085">
              <w:rPr/>
              <w:t>extra assistance? Are they able to take an additional mock exam</w:t>
            </w:r>
          </w:p>
          <w:p w:rsidR="03E729C5" w:rsidP="3FEA9BEA" w:rsidRDefault="03E729C5" w14:paraId="396EA5AD" w14:textId="08C783C8">
            <w:pPr>
              <w:pStyle w:val="ListParagraph"/>
              <w:numPr>
                <w:ilvl w:val="0"/>
                <w:numId w:val="2"/>
              </w:numPr>
              <w:bidi w:val="0"/>
              <w:spacing w:before="0" w:beforeAutospacing="off" w:after="0" w:afterAutospacing="off" w:line="259" w:lineRule="auto"/>
              <w:ind w:left="720" w:right="0" w:hanging="360"/>
              <w:jc w:val="left"/>
              <w:rPr/>
            </w:pPr>
            <w:r w:rsidR="03E729C5">
              <w:rPr/>
              <w:t xml:space="preserve">Is there a way to get data for each question on the mock exam to determine if there is one particular question that a high percentage of students missed? </w:t>
            </w:r>
          </w:p>
          <w:p w:rsidR="3FEA9BEA" w:rsidP="3FEA9BEA" w:rsidRDefault="3FEA9BEA" w14:paraId="6CFFE41A" w14:textId="6FA0B949">
            <w:pPr>
              <w:pStyle w:val="Normal"/>
              <w:bidi w:val="0"/>
              <w:spacing w:before="0" w:beforeAutospacing="off" w:after="0" w:afterAutospacing="off" w:line="259" w:lineRule="auto"/>
              <w:ind w:left="0" w:right="0"/>
              <w:jc w:val="left"/>
            </w:pPr>
          </w:p>
          <w:p w:rsidR="070D2A87" w:rsidP="070D2A87" w:rsidRDefault="070D2A87" w14:paraId="2312C3C1" w14:textId="64ACCFA5">
            <w:pPr>
              <w:pStyle w:val="Normal"/>
            </w:pPr>
          </w:p>
          <w:p w:rsidR="070D2A87" w:rsidP="070D2A87" w:rsidRDefault="070D2A87" w14:paraId="205E19F0" w14:textId="15D9E1C7">
            <w:pPr>
              <w:pStyle w:val="Normal"/>
            </w:pPr>
          </w:p>
        </w:tc>
      </w:tr>
    </w:tbl>
    <w:p w:rsidR="070D2A87" w:rsidP="070D2A87" w:rsidRDefault="070D2A87" w14:paraId="48426460" w14:textId="61E34863">
      <w:pPr>
        <w:pStyle w:val="Normal"/>
      </w:pPr>
    </w:p>
    <w:p w:rsidR="6842DACE" w:rsidP="6842DACE" w:rsidRDefault="6842DACE" w14:paraId="4563B0BB" w14:textId="42175997">
      <w:pPr>
        <w:pStyle w:val="Normal"/>
      </w:pPr>
    </w:p>
    <w:p w:rsidR="6842DACE" w:rsidP="6842DACE" w:rsidRDefault="6842DACE" w14:paraId="192B6592" w14:textId="105E4550">
      <w:pPr>
        <w:pStyle w:val="Normal"/>
      </w:pPr>
    </w:p>
    <w:p w:rsidR="6842DACE" w:rsidP="6842DACE" w:rsidRDefault="6842DACE" w14:paraId="0E0D3B8E" w14:textId="7E95C3E4">
      <w:pPr>
        <w:pStyle w:val="Normal"/>
      </w:pPr>
    </w:p>
    <w:p w:rsidR="449252AA" w:rsidP="6842DACE" w:rsidRDefault="449252AA" w14:paraId="6AEE3819" w14:textId="75A7AD00">
      <w:pPr>
        <w:pStyle w:val="Normal"/>
      </w:pPr>
      <w:r w:rsidR="449252AA">
        <w:drawing>
          <wp:inline wp14:editId="646BAC2D" wp14:anchorId="3A2804EC">
            <wp:extent cx="9134475" cy="951508"/>
            <wp:effectExtent l="0" t="0" r="0" b="0"/>
            <wp:docPr id="1544323258" name="" title=""/>
            <wp:cNvGraphicFramePr>
              <a:graphicFrameLocks noChangeAspect="1"/>
            </wp:cNvGraphicFramePr>
            <a:graphic>
              <a:graphicData uri="http://schemas.openxmlformats.org/drawingml/2006/picture">
                <pic:pic>
                  <pic:nvPicPr>
                    <pic:cNvPr id="0" name=""/>
                    <pic:cNvPicPr/>
                  </pic:nvPicPr>
                  <pic:blipFill>
                    <a:blip r:embed="R1bba78f7ffb44afa">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0" w:type="auto"/>
        <w:tblLook w:val="06A0" w:firstRow="1" w:lastRow="0" w:firstColumn="1" w:lastColumn="0" w:noHBand="1" w:noVBand="1"/>
      </w:tblPr>
      <w:tblGrid>
        <w:gridCol w:w="14526"/>
      </w:tblGrid>
      <w:tr w:rsidR="6842DACE" w:rsidTr="663F1DD8" w14:paraId="38E6534E">
        <w:tc>
          <w:tcPr>
            <w:tcW w:w="14526" w:type="dxa"/>
            <w:shd w:val="clear" w:color="auto" w:fill="FFC000" w:themeFill="accent4"/>
            <w:tcMar/>
          </w:tcPr>
          <w:p w:rsidR="6842DACE" w:rsidP="6754B86D" w:rsidRDefault="6842DACE" w14:paraId="5A66F7DF" w14:textId="74C189BB">
            <w:pPr>
              <w:pStyle w:val="Normal"/>
              <w:jc w:val="center"/>
              <w:rPr>
                <w:rFonts w:ascii="Times New Roman" w:hAnsi="Times New Roman" w:eastAsia="Times New Roman" w:cs="Times New Roman"/>
                <w:b w:val="1"/>
                <w:bCs w:val="1"/>
                <w:color w:val="000000" w:themeColor="text1" w:themeTint="FF" w:themeShade="FF"/>
                <w:sz w:val="30"/>
                <w:szCs w:val="30"/>
              </w:rPr>
            </w:pPr>
            <w:r w:rsidRPr="55C0E444"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55C0E444" w:rsidR="6842DACE">
              <w:rPr>
                <w:rFonts w:ascii="Times New Roman" w:hAnsi="Times New Roman" w:eastAsia="Times New Roman" w:cs="Times New Roman"/>
                <w:b w:val="1"/>
                <w:bCs w:val="1"/>
                <w:color w:val="000000" w:themeColor="text1" w:themeTint="FF" w:themeShade="FF"/>
                <w:sz w:val="30"/>
                <w:szCs w:val="30"/>
              </w:rPr>
              <w:t xml:space="preserve"> </w:t>
            </w:r>
            <w:r w:rsidRPr="55C0E444" w:rsidR="0FAC07B7">
              <w:rPr>
                <w:rFonts w:ascii="Times New Roman" w:hAnsi="Times New Roman" w:eastAsia="Times New Roman" w:cs="Times New Roman"/>
                <w:b w:val="1"/>
                <w:bCs w:val="1"/>
                <w:color w:val="000000" w:themeColor="text1" w:themeTint="FF" w:themeShade="FF"/>
                <w:sz w:val="30"/>
                <w:szCs w:val="30"/>
              </w:rPr>
              <w:t xml:space="preserve">May </w:t>
            </w:r>
            <w:r w:rsidRPr="55C0E444" w:rsidR="3C03AB78">
              <w:rPr>
                <w:rFonts w:ascii="Times New Roman" w:hAnsi="Times New Roman" w:eastAsia="Times New Roman" w:cs="Times New Roman"/>
                <w:b w:val="1"/>
                <w:bCs w:val="1"/>
                <w:color w:val="000000" w:themeColor="text1" w:themeTint="FF" w:themeShade="FF"/>
                <w:sz w:val="30"/>
                <w:szCs w:val="30"/>
              </w:rPr>
              <w:t>18</w:t>
            </w:r>
            <w:r w:rsidRPr="55C0E444" w:rsidR="0FAC07B7">
              <w:rPr>
                <w:rFonts w:ascii="Times New Roman" w:hAnsi="Times New Roman" w:eastAsia="Times New Roman" w:cs="Times New Roman"/>
                <w:b w:val="1"/>
                <w:bCs w:val="1"/>
                <w:color w:val="000000" w:themeColor="text1" w:themeTint="FF" w:themeShade="FF"/>
                <w:sz w:val="30"/>
                <w:szCs w:val="30"/>
              </w:rPr>
              <w:t>, 202</w:t>
            </w:r>
            <w:r w:rsidRPr="55C0E444" w:rsidR="2E7680A1">
              <w:rPr>
                <w:rFonts w:ascii="Times New Roman" w:hAnsi="Times New Roman" w:eastAsia="Times New Roman" w:cs="Times New Roman"/>
                <w:b w:val="1"/>
                <w:bCs w:val="1"/>
                <w:color w:val="000000" w:themeColor="text1" w:themeTint="FF" w:themeShade="FF"/>
                <w:sz w:val="30"/>
                <w:szCs w:val="30"/>
              </w:rPr>
              <w:t>3</w:t>
            </w:r>
          </w:p>
        </w:tc>
      </w:tr>
      <w:tr w:rsidR="6842DACE" w:rsidTr="663F1DD8" w14:paraId="47A3BCC7">
        <w:trPr>
          <w:trHeight w:val="390"/>
        </w:trPr>
        <w:tc>
          <w:tcPr>
            <w:tcW w:w="14526" w:type="dxa"/>
            <w:tcMar/>
          </w:tcPr>
          <w:p w:rsidR="5BBC5178" w:rsidP="6754B86D" w:rsidRDefault="5BBC5178" w14:paraId="0F145057" w14:textId="251355CE">
            <w:pPr>
              <w:pStyle w:val="Normal"/>
              <w:spacing w:line="259" w:lineRule="auto"/>
              <w:rPr>
                <w:rFonts w:ascii="Calibri" w:hAnsi="Calibri" w:eastAsia="Calibri" w:cs="Calibri"/>
                <w:color w:val="000000" w:themeColor="text1" w:themeTint="FF" w:themeShade="FF"/>
                <w:sz w:val="24"/>
                <w:szCs w:val="24"/>
              </w:rPr>
            </w:pPr>
            <w:r w:rsidRPr="6754B86D" w:rsidR="5BBC5178">
              <w:rPr>
                <w:rFonts w:ascii="Calibri" w:hAnsi="Calibri" w:eastAsia="Calibri" w:cs="Calibri"/>
                <w:b w:val="1"/>
                <w:bCs w:val="1"/>
                <w:color w:val="000000" w:themeColor="text1" w:themeTint="FF" w:themeShade="FF"/>
                <w:sz w:val="24"/>
                <w:szCs w:val="24"/>
              </w:rPr>
              <w:t>1. Program name or course name and number</w:t>
            </w:r>
            <w:r w:rsidRPr="6754B86D" w:rsidR="5BBC5178">
              <w:rPr>
                <w:rFonts w:ascii="Calibri" w:hAnsi="Calibri" w:eastAsia="Calibri" w:cs="Calibri"/>
                <w:color w:val="000000" w:themeColor="text1" w:themeTint="FF" w:themeShade="FF"/>
                <w:sz w:val="24"/>
                <w:szCs w:val="24"/>
              </w:rPr>
              <w:t>:</w:t>
            </w:r>
            <w:r w:rsidRPr="6754B86D" w:rsidR="6628D97A">
              <w:rPr>
                <w:rFonts w:ascii="Calibri" w:hAnsi="Calibri" w:eastAsia="Calibri" w:cs="Calibri"/>
                <w:color w:val="000000" w:themeColor="text1" w:themeTint="FF" w:themeShade="FF"/>
                <w:sz w:val="24"/>
                <w:szCs w:val="24"/>
              </w:rPr>
              <w:t xml:space="preserve"> </w:t>
            </w:r>
          </w:p>
          <w:p w:rsidR="6754B86D" w:rsidP="6754B86D" w:rsidRDefault="6754B86D" w14:paraId="52F06CA5" w14:textId="6F598ECE">
            <w:pPr>
              <w:pStyle w:val="Normal"/>
              <w:spacing w:line="259" w:lineRule="auto"/>
              <w:rPr>
                <w:rFonts w:ascii="Calibri" w:hAnsi="Calibri" w:eastAsia="Calibri" w:cs="Calibri"/>
                <w:color w:val="000000" w:themeColor="text1" w:themeTint="FF" w:themeShade="FF"/>
                <w:sz w:val="24"/>
                <w:szCs w:val="24"/>
              </w:rPr>
            </w:pPr>
            <w:r w:rsidRPr="663F1DD8" w:rsidR="4200BF4A">
              <w:rPr>
                <w:rFonts w:ascii="Calibri" w:hAnsi="Calibri" w:eastAsia="Calibri" w:cs="Calibri"/>
                <w:color w:val="000000" w:themeColor="text1" w:themeTint="FF" w:themeShade="FF"/>
                <w:sz w:val="24"/>
                <w:szCs w:val="24"/>
              </w:rPr>
              <w:t>Health Information Management AAS Degree; HIM296 Health Information Management Practicum</w:t>
            </w:r>
          </w:p>
        </w:tc>
      </w:tr>
      <w:tr w:rsidR="6754B86D" w:rsidTr="663F1DD8" w14:paraId="068BD693">
        <w:trPr>
          <w:trHeight w:val="390"/>
        </w:trPr>
        <w:tc>
          <w:tcPr>
            <w:tcW w:w="14526" w:type="dxa"/>
            <w:tcMar/>
          </w:tcPr>
          <w:p w:rsidR="5BBC5178" w:rsidP="6754B86D" w:rsidRDefault="5BBC5178" w14:paraId="52CDC7AB" w14:textId="0FAF564C">
            <w:pPr>
              <w:spacing w:line="259" w:lineRule="auto"/>
              <w:rPr>
                <w:rFonts w:ascii="Calibri" w:hAnsi="Calibri" w:eastAsia="Calibri" w:cs="Calibri"/>
                <w:color w:val="000000" w:themeColor="text1" w:themeTint="FF" w:themeShade="FF"/>
                <w:sz w:val="24"/>
                <w:szCs w:val="24"/>
              </w:rPr>
            </w:pPr>
            <w:r w:rsidRPr="6754B86D" w:rsidR="5BBC5178">
              <w:rPr>
                <w:rFonts w:ascii="Calibri" w:hAnsi="Calibri" w:eastAsia="Calibri" w:cs="Calibri"/>
                <w:b w:val="1"/>
                <w:bCs w:val="1"/>
                <w:color w:val="000000" w:themeColor="text1" w:themeTint="FF" w:themeShade="FF"/>
                <w:sz w:val="24"/>
                <w:szCs w:val="24"/>
              </w:rPr>
              <w:t>2. Division in which the program or course is located</w:t>
            </w:r>
            <w:r w:rsidRPr="6754B86D" w:rsidR="5BBC5178">
              <w:rPr>
                <w:rFonts w:ascii="Calibri" w:hAnsi="Calibri" w:eastAsia="Calibri" w:cs="Calibri"/>
                <w:color w:val="000000" w:themeColor="text1" w:themeTint="FF" w:themeShade="FF"/>
                <w:sz w:val="24"/>
                <w:szCs w:val="24"/>
              </w:rPr>
              <w:t>:</w:t>
            </w:r>
          </w:p>
          <w:p w:rsidR="6754B86D" w:rsidP="6754B86D" w:rsidRDefault="6754B86D" w14:paraId="5BAD7D01" w14:textId="05BA459E">
            <w:pPr>
              <w:spacing w:line="259" w:lineRule="auto"/>
              <w:rPr>
                <w:rFonts w:ascii="Calibri" w:hAnsi="Calibri" w:eastAsia="Calibri" w:cs="Calibri"/>
                <w:color w:val="000000" w:themeColor="text1" w:themeTint="FF" w:themeShade="FF"/>
                <w:sz w:val="24"/>
                <w:szCs w:val="24"/>
              </w:rPr>
            </w:pPr>
            <w:r w:rsidRPr="663F1DD8" w:rsidR="1097CF8B">
              <w:rPr>
                <w:rFonts w:ascii="Calibri" w:hAnsi="Calibri" w:eastAsia="Calibri" w:cs="Calibri"/>
                <w:color w:val="000000" w:themeColor="text1" w:themeTint="FF" w:themeShade="FF"/>
                <w:sz w:val="24"/>
                <w:szCs w:val="24"/>
              </w:rPr>
              <w:t>Nursing, Allied Health &amp; Skilled Trades</w:t>
            </w:r>
          </w:p>
        </w:tc>
      </w:tr>
      <w:tr w:rsidR="7933FE0A" w:rsidTr="663F1DD8" w14:paraId="05596396">
        <w:trPr>
          <w:trHeight w:val="390"/>
        </w:trPr>
        <w:tc>
          <w:tcPr>
            <w:tcW w:w="14526" w:type="dxa"/>
            <w:tcMar/>
          </w:tcPr>
          <w:p w:rsidR="6842DACE" w:rsidP="7933FE0A" w:rsidRDefault="6842DACE" w14:paraId="269C549A" w14:textId="42294AEE">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2. Date form completed</w:t>
            </w:r>
            <w:r w:rsidRPr="7933FE0A" w:rsidR="6842DACE">
              <w:rPr>
                <w:rFonts w:ascii="Calibri" w:hAnsi="Calibri" w:eastAsia="Calibri" w:cs="Calibri"/>
                <w:color w:val="000000" w:themeColor="text1" w:themeTint="FF" w:themeShade="FF"/>
                <w:sz w:val="24"/>
                <w:szCs w:val="24"/>
              </w:rPr>
              <w:t>:</w:t>
            </w:r>
          </w:p>
          <w:p w:rsidR="7933FE0A" w:rsidP="7933FE0A" w:rsidRDefault="7933FE0A" w14:paraId="3B9B5FA1" w14:textId="526E441B">
            <w:pPr>
              <w:pStyle w:val="Normal"/>
              <w:spacing w:line="259" w:lineRule="auto"/>
              <w:rPr>
                <w:rFonts w:ascii="Calibri" w:hAnsi="Calibri" w:eastAsia="Calibri" w:cs="Calibri"/>
                <w:b w:val="1"/>
                <w:bCs w:val="1"/>
                <w:color w:val="000000" w:themeColor="text1" w:themeTint="FF" w:themeShade="FF"/>
                <w:sz w:val="24"/>
                <w:szCs w:val="24"/>
              </w:rPr>
            </w:pPr>
            <w:r w:rsidRPr="663F1DD8" w:rsidR="60CA1FCA">
              <w:rPr>
                <w:rFonts w:ascii="Calibri" w:hAnsi="Calibri" w:eastAsia="Calibri" w:cs="Calibri"/>
                <w:b w:val="0"/>
                <w:bCs w:val="0"/>
                <w:color w:val="000000" w:themeColor="text1" w:themeTint="FF" w:themeShade="FF"/>
                <w:sz w:val="24"/>
                <w:szCs w:val="24"/>
              </w:rPr>
              <w:t>August 28, 2023</w:t>
            </w:r>
          </w:p>
        </w:tc>
      </w:tr>
      <w:tr w:rsidR="6842DACE" w:rsidTr="663F1DD8" w14:paraId="7773D3F7">
        <w:trPr>
          <w:trHeight w:val="390"/>
        </w:trPr>
        <w:tc>
          <w:tcPr>
            <w:tcW w:w="14526" w:type="dxa"/>
            <w:tcMar/>
          </w:tcPr>
          <w:p w:rsidR="6842DACE" w:rsidP="6842DACE" w:rsidRDefault="6842DACE" w14:paraId="3B43F984" w14:textId="3460677A">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3. Name of person completing report</w:t>
            </w:r>
            <w:r w:rsidRPr="7933FE0A" w:rsidR="6842DACE">
              <w:rPr>
                <w:rFonts w:ascii="Calibri" w:hAnsi="Calibri" w:eastAsia="Calibri" w:cs="Calibri"/>
                <w:color w:val="000000" w:themeColor="text1" w:themeTint="FF" w:themeShade="FF"/>
                <w:sz w:val="24"/>
                <w:szCs w:val="24"/>
              </w:rPr>
              <w:t>:</w:t>
            </w:r>
          </w:p>
          <w:p w:rsidR="6842DACE" w:rsidP="6842DACE" w:rsidRDefault="6842DACE" w14:paraId="70653FD5" w14:textId="73D39EDE">
            <w:pPr>
              <w:spacing w:line="259" w:lineRule="auto"/>
              <w:rPr>
                <w:rFonts w:ascii="Calibri" w:hAnsi="Calibri" w:eastAsia="Calibri" w:cs="Calibri"/>
                <w:color w:val="000000" w:themeColor="text1" w:themeTint="FF" w:themeShade="FF"/>
                <w:sz w:val="24"/>
                <w:szCs w:val="24"/>
              </w:rPr>
            </w:pPr>
            <w:r w:rsidRPr="663F1DD8" w:rsidR="1186AF85">
              <w:rPr>
                <w:rFonts w:ascii="Calibri" w:hAnsi="Calibri" w:eastAsia="Calibri" w:cs="Calibri"/>
                <w:color w:val="000000" w:themeColor="text1" w:themeTint="FF" w:themeShade="FF"/>
                <w:sz w:val="24"/>
                <w:szCs w:val="24"/>
              </w:rPr>
              <w:t>Dr. Sandra Brightwell, RHIA, FAHIMA</w:t>
            </w:r>
          </w:p>
        </w:tc>
      </w:tr>
      <w:tr w:rsidR="6842DACE" w:rsidTr="663F1DD8" w14:paraId="040BDC1B">
        <w:trPr>
          <w:trHeight w:val="390"/>
        </w:trPr>
        <w:tc>
          <w:tcPr>
            <w:tcW w:w="14526" w:type="dxa"/>
            <w:tcMar/>
          </w:tcPr>
          <w:p w:rsidR="6842DACE" w:rsidP="6842DACE" w:rsidRDefault="6842DACE" w14:paraId="4484728B" w14:textId="35810A17">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4. Semester and year in which the assessment was conducted</w:t>
            </w:r>
            <w:r w:rsidRPr="7933FE0A" w:rsidR="6842DACE">
              <w:rPr>
                <w:rFonts w:ascii="Calibri" w:hAnsi="Calibri" w:eastAsia="Calibri" w:cs="Calibri"/>
                <w:color w:val="000000" w:themeColor="text1" w:themeTint="FF" w:themeShade="FF"/>
                <w:sz w:val="24"/>
                <w:szCs w:val="24"/>
              </w:rPr>
              <w:t>:</w:t>
            </w:r>
          </w:p>
          <w:p w:rsidR="6842DACE" w:rsidP="6842DACE" w:rsidRDefault="6842DACE" w14:paraId="1396B907" w14:textId="79CEAF86">
            <w:pPr>
              <w:spacing w:line="259" w:lineRule="auto"/>
              <w:rPr>
                <w:rFonts w:ascii="Calibri" w:hAnsi="Calibri" w:eastAsia="Calibri" w:cs="Calibri"/>
                <w:color w:val="000000" w:themeColor="text1" w:themeTint="FF" w:themeShade="FF"/>
                <w:sz w:val="24"/>
                <w:szCs w:val="24"/>
              </w:rPr>
            </w:pPr>
            <w:r w:rsidRPr="663F1DD8" w:rsidR="551F18FE">
              <w:rPr>
                <w:rFonts w:ascii="Calibri" w:hAnsi="Calibri" w:eastAsia="Calibri" w:cs="Calibri"/>
                <w:color w:val="000000" w:themeColor="text1" w:themeTint="FF" w:themeShade="FF"/>
                <w:sz w:val="24"/>
                <w:szCs w:val="24"/>
              </w:rPr>
              <w:t>Summer 2023</w:t>
            </w:r>
          </w:p>
        </w:tc>
      </w:tr>
      <w:tr w:rsidR="6842DACE" w:rsidTr="663F1DD8" w14:paraId="5398F6A2">
        <w:trPr>
          <w:trHeight w:val="390"/>
        </w:trPr>
        <w:tc>
          <w:tcPr>
            <w:tcW w:w="14526" w:type="dxa"/>
            <w:tcMar/>
          </w:tcPr>
          <w:p w:rsidR="6842DACE" w:rsidP="6842DACE" w:rsidRDefault="6842DACE" w14:paraId="56917BB4" w14:textId="4CD7A0E8">
            <w:pPr>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5. Number of student participants</w:t>
            </w:r>
            <w:r w:rsidRPr="7933FE0A" w:rsidR="6842DACE">
              <w:rPr>
                <w:rFonts w:ascii="Calibri" w:hAnsi="Calibri" w:eastAsia="Calibri" w:cs="Calibri"/>
                <w:color w:val="000000" w:themeColor="text1" w:themeTint="FF" w:themeShade="FF"/>
                <w:sz w:val="24"/>
                <w:szCs w:val="24"/>
              </w:rPr>
              <w:t>:</w:t>
            </w:r>
          </w:p>
          <w:p w:rsidR="6842DACE" w:rsidP="6842DACE" w:rsidRDefault="6842DACE" w14:paraId="56B1411F" w14:textId="2B670663">
            <w:pPr>
              <w:rPr>
                <w:rFonts w:ascii="Calibri" w:hAnsi="Calibri" w:eastAsia="Calibri" w:cs="Calibri"/>
                <w:color w:val="000000" w:themeColor="text1" w:themeTint="FF" w:themeShade="FF"/>
                <w:sz w:val="24"/>
                <w:szCs w:val="24"/>
              </w:rPr>
            </w:pPr>
            <w:r w:rsidRPr="663F1DD8" w:rsidR="42F3BA16">
              <w:rPr>
                <w:rFonts w:ascii="Calibri" w:hAnsi="Calibri" w:eastAsia="Calibri" w:cs="Calibri"/>
                <w:color w:val="000000" w:themeColor="text1" w:themeTint="FF" w:themeShade="FF"/>
                <w:sz w:val="24"/>
                <w:szCs w:val="24"/>
              </w:rPr>
              <w:t>14</w:t>
            </w:r>
          </w:p>
        </w:tc>
      </w:tr>
      <w:tr w:rsidR="6842DACE" w:rsidTr="663F1DD8" w14:paraId="7A0A970E">
        <w:trPr>
          <w:trHeight w:val="390"/>
        </w:trPr>
        <w:tc>
          <w:tcPr>
            <w:tcW w:w="14526" w:type="dxa"/>
            <w:tcMar/>
          </w:tcPr>
          <w:p w:rsidR="6842DACE" w:rsidP="6842DACE" w:rsidRDefault="6842DACE" w14:paraId="3BA0AA8E" w14:textId="21C2D812">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6. Number of faculty/staff participants</w:t>
            </w:r>
            <w:r w:rsidRPr="7933FE0A" w:rsidR="6842DACE">
              <w:rPr>
                <w:rFonts w:ascii="Calibri" w:hAnsi="Calibri" w:eastAsia="Calibri" w:cs="Calibri"/>
                <w:color w:val="000000" w:themeColor="text1" w:themeTint="FF" w:themeShade="FF"/>
                <w:sz w:val="24"/>
                <w:szCs w:val="24"/>
              </w:rPr>
              <w:t>:</w:t>
            </w:r>
          </w:p>
          <w:p w:rsidR="6842DACE" w:rsidP="6842DACE" w:rsidRDefault="6842DACE" w14:paraId="376F7C7F" w14:textId="1CFC5E30">
            <w:pPr>
              <w:spacing w:line="259" w:lineRule="auto"/>
              <w:rPr>
                <w:rFonts w:ascii="Calibri" w:hAnsi="Calibri" w:eastAsia="Calibri" w:cs="Calibri"/>
                <w:color w:val="000000" w:themeColor="text1" w:themeTint="FF" w:themeShade="FF"/>
                <w:sz w:val="24"/>
                <w:szCs w:val="24"/>
              </w:rPr>
            </w:pPr>
            <w:r w:rsidRPr="663F1DD8" w:rsidR="103A4A03">
              <w:rPr>
                <w:rFonts w:ascii="Calibri" w:hAnsi="Calibri" w:eastAsia="Calibri" w:cs="Calibri"/>
                <w:color w:val="000000" w:themeColor="text1" w:themeTint="FF" w:themeShade="FF"/>
                <w:sz w:val="24"/>
                <w:szCs w:val="24"/>
              </w:rPr>
              <w:t xml:space="preserve">1 </w:t>
            </w:r>
          </w:p>
        </w:tc>
      </w:tr>
      <w:tr w:rsidR="6842DACE" w:rsidTr="663F1DD8" w14:paraId="0E535F3C">
        <w:trPr>
          <w:trHeight w:val="390"/>
        </w:trPr>
        <w:tc>
          <w:tcPr>
            <w:tcW w:w="14526" w:type="dxa"/>
            <w:tcMar/>
          </w:tcPr>
          <w:p w:rsidR="6842DACE" w:rsidP="6842DACE" w:rsidRDefault="6842DACE" w14:paraId="513519F1" w14:textId="416A39A1">
            <w:pPr>
              <w:spacing w:line="259" w:lineRule="auto"/>
              <w:rPr>
                <w:rFonts w:ascii="Calibri" w:hAnsi="Calibri" w:eastAsia="Calibri" w:cs="Calibri"/>
                <w:color w:val="000000" w:themeColor="text1" w:themeTint="FF" w:themeShade="FF"/>
                <w:sz w:val="24"/>
                <w:szCs w:val="24"/>
              </w:rPr>
            </w:pPr>
            <w:r w:rsidRPr="663F1DD8" w:rsidR="6842DACE">
              <w:rPr>
                <w:rFonts w:ascii="Calibri" w:hAnsi="Calibri" w:eastAsia="Calibri" w:cs="Calibri"/>
                <w:b w:val="1"/>
                <w:bCs w:val="1"/>
                <w:color w:val="000000" w:themeColor="text1" w:themeTint="FF" w:themeShade="FF"/>
                <w:sz w:val="24"/>
                <w:szCs w:val="24"/>
              </w:rPr>
              <w:t>7. What PLOs and/or MSLOs and CSLOs did you assess for this baseline assessment? (For clarity, please label each measure listed as a PLO, MSLO, or CSLO.)</w:t>
            </w:r>
          </w:p>
          <w:p w:rsidR="663F1DD8" w:rsidP="663F1DD8" w:rsidRDefault="663F1DD8" w14:paraId="7FD8779A" w14:textId="5AE9AB7F">
            <w:pPr>
              <w:pStyle w:val="Normal"/>
              <w:spacing w:line="259" w:lineRule="auto"/>
              <w:rPr>
                <w:rFonts w:ascii="Calibri" w:hAnsi="Calibri" w:eastAsia="Calibri" w:cs="Calibri"/>
                <w:b w:val="1"/>
                <w:bCs w:val="1"/>
                <w:color w:val="000000" w:themeColor="text1" w:themeTint="FF" w:themeShade="FF"/>
                <w:sz w:val="24"/>
                <w:szCs w:val="24"/>
              </w:rPr>
            </w:pPr>
          </w:p>
          <w:p w:rsidR="077B038A" w:rsidP="663F1DD8" w:rsidRDefault="077B038A" w14:paraId="6B56BE47" w14:textId="104ECC85">
            <w:pPr>
              <w:pStyle w:val="Normal"/>
              <w:spacing w:line="259" w:lineRule="auto"/>
              <w:rPr>
                <w:rFonts w:ascii="Calibri" w:hAnsi="Calibri" w:eastAsia="Calibri" w:cs="Calibri"/>
                <w:b w:val="1"/>
                <w:bCs w:val="1"/>
                <w:color w:val="000000" w:themeColor="text1" w:themeTint="FF" w:themeShade="FF"/>
                <w:sz w:val="24"/>
                <w:szCs w:val="24"/>
              </w:rPr>
            </w:pPr>
            <w:r w:rsidRPr="663F1DD8" w:rsidR="077B038A">
              <w:rPr>
                <w:rFonts w:ascii="Calibri" w:hAnsi="Calibri" w:eastAsia="Calibri" w:cs="Calibri"/>
                <w:b w:val="1"/>
                <w:bCs w:val="1"/>
                <w:color w:val="000000" w:themeColor="text1" w:themeTint="FF" w:themeShade="FF"/>
                <w:sz w:val="24"/>
                <w:szCs w:val="24"/>
              </w:rPr>
              <w:t>AHIMA Competencies:</w:t>
            </w:r>
          </w:p>
          <w:p w:rsidR="6842DACE" w:rsidP="663F1DD8" w:rsidRDefault="6842DACE" w14:paraId="12CE241A" w14:textId="18A2CD18">
            <w:pPr>
              <w:spacing w:line="259" w:lineRule="auto"/>
              <w:rPr>
                <w:rFonts w:ascii="Calibri" w:hAnsi="Calibri" w:eastAsia="Calibri" w:cs="Calibri"/>
                <w:color w:val="000000" w:themeColor="text1" w:themeTint="FF" w:themeShade="FF"/>
                <w:sz w:val="24"/>
                <w:szCs w:val="24"/>
              </w:rPr>
            </w:pPr>
            <w:r w:rsidRPr="663F1DD8" w:rsidR="077B038A">
              <w:rPr>
                <w:rFonts w:ascii="Calibri" w:hAnsi="Calibri" w:eastAsia="Calibri" w:cs="Calibri"/>
                <w:color w:val="000000" w:themeColor="text1" w:themeTint="FF" w:themeShade="FF"/>
                <w:sz w:val="24"/>
                <w:szCs w:val="24"/>
              </w:rPr>
              <w:t>Domain I. (Synthesis Level) Data Structure, Content, and Information Governance (CSLO 2,4)</w:t>
            </w:r>
          </w:p>
          <w:p w:rsidR="6842DACE" w:rsidP="663F1DD8" w:rsidRDefault="6842DACE" w14:paraId="15F63DCB" w14:textId="790C0FEB">
            <w:pPr>
              <w:spacing w:line="259" w:lineRule="auto"/>
              <w:rPr>
                <w:rFonts w:ascii="Calibri" w:hAnsi="Calibri" w:eastAsia="Calibri" w:cs="Calibri"/>
                <w:color w:val="000000" w:themeColor="text1" w:themeTint="FF" w:themeShade="FF"/>
                <w:sz w:val="24"/>
                <w:szCs w:val="24"/>
              </w:rPr>
            </w:pPr>
            <w:r w:rsidRPr="663F1DD8" w:rsidR="077B038A">
              <w:rPr>
                <w:rFonts w:ascii="Calibri" w:hAnsi="Calibri" w:eastAsia="Calibri" w:cs="Calibri"/>
                <w:color w:val="000000" w:themeColor="text1" w:themeTint="FF" w:themeShade="FF"/>
                <w:sz w:val="24"/>
                <w:szCs w:val="24"/>
              </w:rPr>
              <w:t xml:space="preserve"> I.2. Apply policies, regulations, and standards to the management of information.</w:t>
            </w:r>
          </w:p>
          <w:p w:rsidR="6842DACE" w:rsidP="663F1DD8" w:rsidRDefault="6842DACE" w14:paraId="1143A8BE" w14:textId="19456E94">
            <w:pPr>
              <w:spacing w:line="259" w:lineRule="auto"/>
              <w:rPr>
                <w:rFonts w:ascii="Calibri" w:hAnsi="Calibri" w:eastAsia="Calibri" w:cs="Calibri"/>
                <w:color w:val="000000" w:themeColor="text1" w:themeTint="FF" w:themeShade="FF"/>
                <w:sz w:val="24"/>
                <w:szCs w:val="24"/>
              </w:rPr>
            </w:pPr>
            <w:r w:rsidRPr="663F1DD8" w:rsidR="077B038A">
              <w:rPr>
                <w:rFonts w:ascii="Calibri" w:hAnsi="Calibri" w:eastAsia="Calibri" w:cs="Calibri"/>
                <w:color w:val="000000" w:themeColor="text1" w:themeTint="FF" w:themeShade="FF"/>
                <w:sz w:val="24"/>
                <w:szCs w:val="24"/>
              </w:rPr>
              <w:t xml:space="preserve">I.3. </w:t>
            </w:r>
            <w:r w:rsidRPr="663F1DD8" w:rsidR="077B038A">
              <w:rPr>
                <w:rFonts w:ascii="Calibri" w:hAnsi="Calibri" w:eastAsia="Calibri" w:cs="Calibri"/>
                <w:color w:val="000000" w:themeColor="text1" w:themeTint="FF" w:themeShade="FF"/>
                <w:sz w:val="24"/>
                <w:szCs w:val="24"/>
              </w:rPr>
              <w:t>Identify</w:t>
            </w:r>
            <w:r w:rsidRPr="663F1DD8" w:rsidR="077B038A">
              <w:rPr>
                <w:rFonts w:ascii="Calibri" w:hAnsi="Calibri" w:eastAsia="Calibri" w:cs="Calibri"/>
                <w:color w:val="000000" w:themeColor="text1" w:themeTint="FF" w:themeShade="FF"/>
                <w:sz w:val="24"/>
                <w:szCs w:val="24"/>
              </w:rPr>
              <w:t xml:space="preserve"> policies and strategies to achieve data integrity.I.4. </w:t>
            </w:r>
            <w:r w:rsidRPr="663F1DD8" w:rsidR="077B038A">
              <w:rPr>
                <w:rFonts w:ascii="Calibri" w:hAnsi="Calibri" w:eastAsia="Calibri" w:cs="Calibri"/>
                <w:color w:val="000000" w:themeColor="text1" w:themeTint="FF" w:themeShade="FF"/>
                <w:sz w:val="24"/>
                <w:szCs w:val="24"/>
              </w:rPr>
              <w:t>Determine</w:t>
            </w:r>
            <w:r w:rsidRPr="663F1DD8" w:rsidR="077B038A">
              <w:rPr>
                <w:rFonts w:ascii="Calibri" w:hAnsi="Calibri" w:eastAsia="Calibri" w:cs="Calibri"/>
                <w:color w:val="000000" w:themeColor="text1" w:themeTint="FF" w:themeShade="FF"/>
                <w:sz w:val="24"/>
                <w:szCs w:val="24"/>
              </w:rPr>
              <w:t xml:space="preserve"> compliance of health record content within the health </w:t>
            </w:r>
            <w:r w:rsidRPr="663F1DD8" w:rsidR="077B038A">
              <w:rPr>
                <w:rFonts w:ascii="Calibri" w:hAnsi="Calibri" w:eastAsia="Calibri" w:cs="Calibri"/>
                <w:color w:val="000000" w:themeColor="text1" w:themeTint="FF" w:themeShade="FF"/>
                <w:sz w:val="24"/>
                <w:szCs w:val="24"/>
              </w:rPr>
              <w:t>organization.</w:t>
            </w:r>
          </w:p>
          <w:p w:rsidR="6842DACE" w:rsidP="663F1DD8" w:rsidRDefault="6842DACE" w14:paraId="0E96626F" w14:textId="65BD7706">
            <w:pPr>
              <w:spacing w:line="259" w:lineRule="auto"/>
              <w:rPr>
                <w:rFonts w:ascii="Calibri" w:hAnsi="Calibri" w:eastAsia="Calibri" w:cs="Calibri"/>
                <w:color w:val="000000" w:themeColor="text1" w:themeTint="FF" w:themeShade="FF"/>
                <w:sz w:val="24"/>
                <w:szCs w:val="24"/>
              </w:rPr>
            </w:pPr>
          </w:p>
          <w:p w:rsidR="6842DACE" w:rsidP="663F1DD8" w:rsidRDefault="6842DACE" w14:paraId="75C94258" w14:textId="001E4A6E">
            <w:pPr>
              <w:spacing w:line="259" w:lineRule="auto"/>
              <w:rPr>
                <w:rFonts w:ascii="Calibri" w:hAnsi="Calibri" w:eastAsia="Calibri" w:cs="Calibri"/>
                <w:color w:val="000000" w:themeColor="text1" w:themeTint="FF" w:themeShade="FF"/>
                <w:sz w:val="24"/>
                <w:szCs w:val="24"/>
              </w:rPr>
            </w:pPr>
            <w:r w:rsidRPr="663F1DD8" w:rsidR="077B038A">
              <w:rPr>
                <w:rFonts w:ascii="Calibri" w:hAnsi="Calibri" w:eastAsia="Calibri" w:cs="Calibri"/>
                <w:color w:val="000000" w:themeColor="text1" w:themeTint="FF" w:themeShade="FF"/>
                <w:sz w:val="24"/>
                <w:szCs w:val="24"/>
              </w:rPr>
              <w:t>Domain</w:t>
            </w:r>
            <w:r w:rsidRPr="663F1DD8" w:rsidR="077B038A">
              <w:rPr>
                <w:rFonts w:ascii="Calibri" w:hAnsi="Calibri" w:eastAsia="Calibri" w:cs="Calibri"/>
                <w:color w:val="000000" w:themeColor="text1" w:themeTint="FF" w:themeShade="FF"/>
                <w:sz w:val="24"/>
                <w:szCs w:val="24"/>
              </w:rPr>
              <w:t xml:space="preserve"> II. (Application Level) Information Protection: Access, Use, Disclosure, Privacy, and Security (CSLO 1,2, 4) </w:t>
            </w:r>
          </w:p>
          <w:p w:rsidR="6842DACE" w:rsidP="663F1DD8" w:rsidRDefault="6842DACE" w14:paraId="1FBA5C1E" w14:textId="3D9FCD63">
            <w:pPr>
              <w:spacing w:line="259" w:lineRule="auto"/>
              <w:rPr>
                <w:rFonts w:ascii="Calibri" w:hAnsi="Calibri" w:eastAsia="Calibri" w:cs="Calibri"/>
                <w:color w:val="000000" w:themeColor="text1" w:themeTint="FF" w:themeShade="FF"/>
                <w:sz w:val="24"/>
                <w:szCs w:val="24"/>
              </w:rPr>
            </w:pPr>
            <w:r w:rsidRPr="663F1DD8" w:rsidR="077B038A">
              <w:rPr>
                <w:rFonts w:ascii="Calibri" w:hAnsi="Calibri" w:eastAsia="Calibri" w:cs="Calibri"/>
                <w:color w:val="000000" w:themeColor="text1" w:themeTint="FF" w:themeShade="FF"/>
                <w:sz w:val="24"/>
                <w:szCs w:val="24"/>
              </w:rPr>
              <w:t>II.1. Apply privacy strategies to health information.</w:t>
            </w:r>
          </w:p>
          <w:p w:rsidR="6842DACE" w:rsidP="663F1DD8" w:rsidRDefault="6842DACE" w14:paraId="0BC7D7F1" w14:textId="13789F95">
            <w:pPr>
              <w:spacing w:line="259" w:lineRule="auto"/>
              <w:rPr>
                <w:rFonts w:ascii="Calibri" w:hAnsi="Calibri" w:eastAsia="Calibri" w:cs="Calibri"/>
                <w:color w:val="000000" w:themeColor="text1" w:themeTint="FF" w:themeShade="FF"/>
                <w:sz w:val="24"/>
                <w:szCs w:val="24"/>
              </w:rPr>
            </w:pPr>
            <w:r w:rsidRPr="663F1DD8" w:rsidR="077B038A">
              <w:rPr>
                <w:rFonts w:ascii="Calibri" w:hAnsi="Calibri" w:eastAsia="Calibri" w:cs="Calibri"/>
                <w:color w:val="000000" w:themeColor="text1" w:themeTint="FF" w:themeShade="FF"/>
                <w:sz w:val="24"/>
                <w:szCs w:val="24"/>
              </w:rPr>
              <w:t xml:space="preserve">II.2. Apply security strategies to health information.II.3. </w:t>
            </w:r>
            <w:r w:rsidRPr="663F1DD8" w:rsidR="077B038A">
              <w:rPr>
                <w:rFonts w:ascii="Calibri" w:hAnsi="Calibri" w:eastAsia="Calibri" w:cs="Calibri"/>
                <w:color w:val="000000" w:themeColor="text1" w:themeTint="FF" w:themeShade="FF"/>
                <w:sz w:val="24"/>
                <w:szCs w:val="24"/>
              </w:rPr>
              <w:t>Identify</w:t>
            </w:r>
            <w:r w:rsidRPr="663F1DD8" w:rsidR="077B038A">
              <w:rPr>
                <w:rFonts w:ascii="Calibri" w:hAnsi="Calibri" w:eastAsia="Calibri" w:cs="Calibri"/>
                <w:color w:val="000000" w:themeColor="text1" w:themeTint="FF" w:themeShade="FF"/>
                <w:sz w:val="24"/>
                <w:szCs w:val="24"/>
              </w:rPr>
              <w:t xml:space="preserve"> compliance requirements throughout the health information life </w:t>
            </w:r>
            <w:r w:rsidRPr="663F1DD8" w:rsidR="077B038A">
              <w:rPr>
                <w:rFonts w:ascii="Calibri" w:hAnsi="Calibri" w:eastAsia="Calibri" w:cs="Calibri"/>
                <w:color w:val="000000" w:themeColor="text1" w:themeTint="FF" w:themeShade="FF"/>
                <w:sz w:val="24"/>
                <w:szCs w:val="24"/>
              </w:rPr>
              <w:t>cycle.</w:t>
            </w:r>
          </w:p>
          <w:p w:rsidR="6842DACE" w:rsidP="663F1DD8" w:rsidRDefault="6842DACE" w14:paraId="3C2409AD" w14:textId="2E754567">
            <w:pPr>
              <w:pStyle w:val="Normal"/>
              <w:spacing w:line="259" w:lineRule="auto"/>
              <w:rPr>
                <w:rFonts w:ascii="Calibri" w:hAnsi="Calibri" w:eastAsia="Calibri" w:cs="Calibri"/>
                <w:color w:val="000000" w:themeColor="text1" w:themeTint="FF" w:themeShade="FF"/>
                <w:sz w:val="24"/>
                <w:szCs w:val="24"/>
              </w:rPr>
            </w:pPr>
          </w:p>
          <w:p w:rsidR="6842DACE" w:rsidP="663F1DD8" w:rsidRDefault="6842DACE" w14:paraId="69DB5B2F" w14:textId="05959166">
            <w:pPr>
              <w:spacing w:line="259" w:lineRule="auto"/>
              <w:rPr>
                <w:rFonts w:ascii="Calibri" w:hAnsi="Calibri" w:eastAsia="Calibri" w:cs="Calibri"/>
                <w:color w:val="000000" w:themeColor="text1" w:themeTint="FF" w:themeShade="FF"/>
                <w:sz w:val="24"/>
                <w:szCs w:val="24"/>
              </w:rPr>
            </w:pPr>
            <w:r w:rsidRPr="663F1DD8" w:rsidR="077B038A">
              <w:rPr>
                <w:rFonts w:ascii="Calibri" w:hAnsi="Calibri" w:eastAsia="Calibri" w:cs="Calibri"/>
                <w:color w:val="000000" w:themeColor="text1" w:themeTint="FF" w:themeShade="FF"/>
                <w:sz w:val="24"/>
                <w:szCs w:val="24"/>
              </w:rPr>
              <w:t>Domain</w:t>
            </w:r>
            <w:r w:rsidRPr="663F1DD8" w:rsidR="077B038A">
              <w:rPr>
                <w:rFonts w:ascii="Calibri" w:hAnsi="Calibri" w:eastAsia="Calibri" w:cs="Calibri"/>
                <w:color w:val="000000" w:themeColor="text1" w:themeTint="FF" w:themeShade="FF"/>
                <w:sz w:val="24"/>
                <w:szCs w:val="24"/>
              </w:rPr>
              <w:t xml:space="preserve"> III. (Analysis Level) Informatics, Analytics, and Data Use (CSLO 2,4) </w:t>
            </w:r>
          </w:p>
          <w:p w:rsidR="6842DACE" w:rsidP="663F1DD8" w:rsidRDefault="6842DACE" w14:paraId="12DBD284" w14:textId="5F4EBA69">
            <w:pPr>
              <w:spacing w:line="259" w:lineRule="auto"/>
              <w:rPr>
                <w:rFonts w:ascii="Calibri" w:hAnsi="Calibri" w:eastAsia="Calibri" w:cs="Calibri"/>
                <w:color w:val="000000" w:themeColor="text1" w:themeTint="FF" w:themeShade="FF"/>
                <w:sz w:val="24"/>
                <w:szCs w:val="24"/>
              </w:rPr>
            </w:pPr>
            <w:r w:rsidRPr="663F1DD8" w:rsidR="077B038A">
              <w:rPr>
                <w:rFonts w:ascii="Calibri" w:hAnsi="Calibri" w:eastAsia="Calibri" w:cs="Calibri"/>
                <w:color w:val="000000" w:themeColor="text1" w:themeTint="FF" w:themeShade="FF"/>
                <w:sz w:val="24"/>
                <w:szCs w:val="24"/>
              </w:rPr>
              <w:t>III.1. Apply health informatics concepts to the management of health information.</w:t>
            </w:r>
          </w:p>
          <w:p w:rsidR="6842DACE" w:rsidP="663F1DD8" w:rsidRDefault="6842DACE" w14:paraId="22A6E9E9" w14:textId="12C8D27E">
            <w:pPr>
              <w:pStyle w:val="Normal"/>
              <w:spacing w:line="259" w:lineRule="auto"/>
            </w:pPr>
            <w:r w:rsidRPr="663F1DD8" w:rsidR="077B038A">
              <w:rPr>
                <w:rFonts w:ascii="Calibri" w:hAnsi="Calibri" w:eastAsia="Calibri" w:cs="Calibri"/>
                <w:color w:val="000000" w:themeColor="text1" w:themeTint="FF" w:themeShade="FF"/>
                <w:sz w:val="24"/>
                <w:szCs w:val="24"/>
              </w:rPr>
              <w:t xml:space="preserve">III.2. Utilize technologies for health information management. </w:t>
            </w:r>
          </w:p>
          <w:p w:rsidR="6842DACE" w:rsidP="663F1DD8" w:rsidRDefault="6842DACE" w14:paraId="4FC8DE0D" w14:textId="3A564A49">
            <w:pPr>
              <w:pStyle w:val="Normal"/>
              <w:spacing w:line="259" w:lineRule="auto"/>
            </w:pPr>
            <w:r w:rsidRPr="663F1DD8" w:rsidR="077B038A">
              <w:rPr>
                <w:rFonts w:ascii="Calibri" w:hAnsi="Calibri" w:eastAsia="Calibri" w:cs="Calibri"/>
                <w:color w:val="000000" w:themeColor="text1" w:themeTint="FF" w:themeShade="FF"/>
                <w:sz w:val="24"/>
                <w:szCs w:val="24"/>
              </w:rPr>
              <w:t xml:space="preserve">III.3. Calculate statistics for health care operations. </w:t>
            </w:r>
          </w:p>
          <w:p w:rsidR="6842DACE" w:rsidP="663F1DD8" w:rsidRDefault="6842DACE" w14:paraId="3FD8D0FD" w14:textId="5132749A">
            <w:pPr>
              <w:pStyle w:val="Normal"/>
              <w:spacing w:line="259" w:lineRule="auto"/>
            </w:pPr>
            <w:r w:rsidRPr="663F1DD8" w:rsidR="077B038A">
              <w:rPr>
                <w:rFonts w:ascii="Calibri" w:hAnsi="Calibri" w:eastAsia="Calibri" w:cs="Calibri"/>
                <w:color w:val="000000" w:themeColor="text1" w:themeTint="FF" w:themeShade="FF"/>
                <w:sz w:val="24"/>
                <w:szCs w:val="24"/>
              </w:rPr>
              <w:t xml:space="preserve">III.4. Report health care data through graphical representations. </w:t>
            </w:r>
          </w:p>
          <w:p w:rsidR="6842DACE" w:rsidP="663F1DD8" w:rsidRDefault="6842DACE" w14:paraId="189A06FF" w14:textId="18F1E997">
            <w:pPr>
              <w:pStyle w:val="Normal"/>
              <w:spacing w:line="259" w:lineRule="auto"/>
              <w:rPr>
                <w:rFonts w:ascii="Calibri" w:hAnsi="Calibri" w:eastAsia="Calibri" w:cs="Calibri"/>
                <w:color w:val="000000" w:themeColor="text1" w:themeTint="FF" w:themeShade="FF"/>
                <w:sz w:val="24"/>
                <w:szCs w:val="24"/>
              </w:rPr>
            </w:pPr>
          </w:p>
          <w:p w:rsidR="6842DACE" w:rsidP="663F1DD8" w:rsidRDefault="6842DACE" w14:paraId="40DBE936" w14:textId="5474F983">
            <w:pPr>
              <w:pStyle w:val="Normal"/>
              <w:spacing w:line="259" w:lineRule="auto"/>
            </w:pPr>
            <w:r w:rsidRPr="663F1DD8" w:rsidR="077B038A">
              <w:rPr>
                <w:rFonts w:ascii="Calibri" w:hAnsi="Calibri" w:eastAsia="Calibri" w:cs="Calibri"/>
                <w:color w:val="000000" w:themeColor="text1" w:themeTint="FF" w:themeShade="FF"/>
                <w:sz w:val="24"/>
                <w:szCs w:val="24"/>
              </w:rPr>
              <w:t xml:space="preserve">Domain IV. (Synthesis Level) Revenue Cycle Management (CSLO 2,4) </w:t>
            </w:r>
          </w:p>
          <w:p w:rsidR="6842DACE" w:rsidP="663F1DD8" w:rsidRDefault="6842DACE" w14:paraId="3BE079AA" w14:textId="5517DD90">
            <w:pPr>
              <w:pStyle w:val="Normal"/>
              <w:spacing w:line="259" w:lineRule="auto"/>
            </w:pPr>
            <w:r w:rsidRPr="663F1DD8" w:rsidR="077B038A">
              <w:rPr>
                <w:rFonts w:ascii="Calibri" w:hAnsi="Calibri" w:eastAsia="Calibri" w:cs="Calibri"/>
                <w:color w:val="000000" w:themeColor="text1" w:themeTint="FF" w:themeShade="FF"/>
                <w:sz w:val="24"/>
                <w:szCs w:val="24"/>
              </w:rPr>
              <w:t xml:space="preserve">IV.2. Describe components of revenue cycle management and clinical documentation improvement. </w:t>
            </w:r>
          </w:p>
          <w:p w:rsidR="6842DACE" w:rsidP="663F1DD8" w:rsidRDefault="6842DACE" w14:paraId="1499E691" w14:textId="7D1BDE17">
            <w:pPr>
              <w:pStyle w:val="Normal"/>
              <w:spacing w:line="259" w:lineRule="auto"/>
              <w:rPr>
                <w:rFonts w:ascii="Calibri" w:hAnsi="Calibri" w:eastAsia="Calibri" w:cs="Calibri"/>
                <w:color w:val="000000" w:themeColor="text1" w:themeTint="FF" w:themeShade="FF"/>
                <w:sz w:val="24"/>
                <w:szCs w:val="24"/>
              </w:rPr>
            </w:pPr>
          </w:p>
          <w:p w:rsidR="6842DACE" w:rsidP="663F1DD8" w:rsidRDefault="6842DACE" w14:paraId="7EAC62CB" w14:textId="40FE360F">
            <w:pPr>
              <w:pStyle w:val="Normal"/>
              <w:spacing w:line="259" w:lineRule="auto"/>
            </w:pPr>
            <w:r w:rsidRPr="663F1DD8" w:rsidR="077B038A">
              <w:rPr>
                <w:rFonts w:ascii="Calibri" w:hAnsi="Calibri" w:eastAsia="Calibri" w:cs="Calibri"/>
                <w:color w:val="000000" w:themeColor="text1" w:themeTint="FF" w:themeShade="FF"/>
                <w:sz w:val="24"/>
                <w:szCs w:val="24"/>
              </w:rPr>
              <w:t xml:space="preserve">Domain V. (Synthesis Level) Health Law and Compliance (CSLO 2,3,4) </w:t>
            </w:r>
          </w:p>
          <w:p w:rsidR="6842DACE" w:rsidP="663F1DD8" w:rsidRDefault="6842DACE" w14:paraId="0C0CFB64" w14:textId="0F71D75B">
            <w:pPr>
              <w:pStyle w:val="Normal"/>
              <w:spacing w:line="259" w:lineRule="auto"/>
            </w:pPr>
            <w:r w:rsidRPr="663F1DD8" w:rsidR="077B038A">
              <w:rPr>
                <w:rFonts w:ascii="Calibri" w:hAnsi="Calibri" w:eastAsia="Calibri" w:cs="Calibri"/>
                <w:color w:val="000000" w:themeColor="text1" w:themeTint="FF" w:themeShade="FF"/>
                <w:sz w:val="24"/>
                <w:szCs w:val="24"/>
              </w:rPr>
              <w:t xml:space="preserve">V.2. Demonstrate compliance with external forces. </w:t>
            </w:r>
          </w:p>
          <w:p w:rsidR="6842DACE" w:rsidP="663F1DD8" w:rsidRDefault="6842DACE" w14:paraId="2CF02B03" w14:textId="2F5E1CE6">
            <w:pPr>
              <w:pStyle w:val="Normal"/>
              <w:spacing w:line="259" w:lineRule="auto"/>
            </w:pPr>
            <w:r w:rsidRPr="663F1DD8" w:rsidR="077B038A">
              <w:rPr>
                <w:rFonts w:ascii="Calibri" w:hAnsi="Calibri" w:eastAsia="Calibri" w:cs="Calibri"/>
                <w:color w:val="000000" w:themeColor="text1" w:themeTint="FF" w:themeShade="FF"/>
                <w:sz w:val="24"/>
                <w:szCs w:val="24"/>
              </w:rPr>
              <w:t xml:space="preserve">V.3. </w:t>
            </w:r>
            <w:r w:rsidRPr="663F1DD8" w:rsidR="077B038A">
              <w:rPr>
                <w:rFonts w:ascii="Calibri" w:hAnsi="Calibri" w:eastAsia="Calibri" w:cs="Calibri"/>
                <w:color w:val="000000" w:themeColor="text1" w:themeTint="FF" w:themeShade="FF"/>
                <w:sz w:val="24"/>
                <w:szCs w:val="24"/>
              </w:rPr>
              <w:t>Identify</w:t>
            </w:r>
            <w:r w:rsidRPr="663F1DD8" w:rsidR="077B038A">
              <w:rPr>
                <w:rFonts w:ascii="Calibri" w:hAnsi="Calibri" w:eastAsia="Calibri" w:cs="Calibri"/>
                <w:color w:val="000000" w:themeColor="text1" w:themeTint="FF" w:themeShade="FF"/>
                <w:sz w:val="24"/>
                <w:szCs w:val="24"/>
              </w:rPr>
              <w:t xml:space="preserve"> the components of risk management related to health information management. </w:t>
            </w:r>
          </w:p>
          <w:p w:rsidR="6842DACE" w:rsidP="663F1DD8" w:rsidRDefault="6842DACE" w14:paraId="374B919B" w14:textId="70A7D5B6">
            <w:pPr>
              <w:pStyle w:val="Normal"/>
              <w:spacing w:line="259" w:lineRule="auto"/>
            </w:pPr>
            <w:r w:rsidRPr="663F1DD8" w:rsidR="077B038A">
              <w:rPr>
                <w:rFonts w:ascii="Calibri" w:hAnsi="Calibri" w:eastAsia="Calibri" w:cs="Calibri"/>
                <w:color w:val="000000" w:themeColor="text1" w:themeTint="FF" w:themeShade="FF"/>
                <w:sz w:val="24"/>
                <w:szCs w:val="24"/>
              </w:rPr>
              <w:t xml:space="preserve">V.4. </w:t>
            </w:r>
            <w:r w:rsidRPr="663F1DD8" w:rsidR="077B038A">
              <w:rPr>
                <w:rFonts w:ascii="Calibri" w:hAnsi="Calibri" w:eastAsia="Calibri" w:cs="Calibri"/>
                <w:color w:val="000000" w:themeColor="text1" w:themeTint="FF" w:themeShade="FF"/>
                <w:sz w:val="24"/>
                <w:szCs w:val="24"/>
              </w:rPr>
              <w:t>Identify</w:t>
            </w:r>
            <w:r w:rsidRPr="663F1DD8" w:rsidR="077B038A">
              <w:rPr>
                <w:rFonts w:ascii="Calibri" w:hAnsi="Calibri" w:eastAsia="Calibri" w:cs="Calibri"/>
                <w:color w:val="000000" w:themeColor="text1" w:themeTint="FF" w:themeShade="FF"/>
                <w:sz w:val="24"/>
                <w:szCs w:val="24"/>
              </w:rPr>
              <w:t xml:space="preserve"> the impact of policy on health care. </w:t>
            </w:r>
          </w:p>
          <w:p w:rsidR="6842DACE" w:rsidP="663F1DD8" w:rsidRDefault="6842DACE" w14:paraId="2523D807" w14:textId="6B23E283">
            <w:pPr>
              <w:pStyle w:val="Normal"/>
              <w:spacing w:line="259" w:lineRule="auto"/>
              <w:rPr>
                <w:rFonts w:ascii="Calibri" w:hAnsi="Calibri" w:eastAsia="Calibri" w:cs="Calibri"/>
                <w:color w:val="000000" w:themeColor="text1" w:themeTint="FF" w:themeShade="FF"/>
                <w:sz w:val="24"/>
                <w:szCs w:val="24"/>
              </w:rPr>
            </w:pPr>
          </w:p>
          <w:p w:rsidR="6842DACE" w:rsidP="663F1DD8" w:rsidRDefault="6842DACE" w14:paraId="69094668" w14:textId="555A286A">
            <w:pPr>
              <w:pStyle w:val="Normal"/>
              <w:spacing w:line="259" w:lineRule="auto"/>
            </w:pPr>
            <w:r w:rsidRPr="663F1DD8" w:rsidR="077B038A">
              <w:rPr>
                <w:rFonts w:ascii="Calibri" w:hAnsi="Calibri" w:eastAsia="Calibri" w:cs="Calibri"/>
                <w:color w:val="000000" w:themeColor="text1" w:themeTint="FF" w:themeShade="FF"/>
                <w:sz w:val="24"/>
                <w:szCs w:val="24"/>
              </w:rPr>
              <w:t xml:space="preserve">Domain VI. (Synthesis Level) Organizational Management and Leadership (CSLO 1,2,3,4) </w:t>
            </w:r>
          </w:p>
          <w:p w:rsidR="6842DACE" w:rsidP="663F1DD8" w:rsidRDefault="6842DACE" w14:paraId="6AA4ACD6" w14:textId="12616181">
            <w:pPr>
              <w:pStyle w:val="Normal"/>
              <w:spacing w:line="259" w:lineRule="auto"/>
            </w:pPr>
            <w:r w:rsidRPr="663F1DD8" w:rsidR="077B038A">
              <w:rPr>
                <w:rFonts w:ascii="Calibri" w:hAnsi="Calibri" w:eastAsia="Calibri" w:cs="Calibri"/>
                <w:color w:val="000000" w:themeColor="text1" w:themeTint="FF" w:themeShade="FF"/>
                <w:sz w:val="24"/>
                <w:szCs w:val="24"/>
              </w:rPr>
              <w:t xml:space="preserve">VI.1. Demonstrate fundamental leadership skills. </w:t>
            </w:r>
          </w:p>
          <w:p w:rsidR="6842DACE" w:rsidP="663F1DD8" w:rsidRDefault="6842DACE" w14:paraId="0750A03B" w14:textId="15FA5731">
            <w:pPr>
              <w:pStyle w:val="Normal"/>
              <w:spacing w:line="259" w:lineRule="auto"/>
            </w:pPr>
            <w:r w:rsidRPr="663F1DD8" w:rsidR="077B038A">
              <w:rPr>
                <w:rFonts w:ascii="Calibri" w:hAnsi="Calibri" w:eastAsia="Calibri" w:cs="Calibri"/>
                <w:color w:val="000000" w:themeColor="text1" w:themeTint="FF" w:themeShade="FF"/>
                <w:sz w:val="24"/>
                <w:szCs w:val="24"/>
              </w:rPr>
              <w:t xml:space="preserve">VI.2. </w:t>
            </w:r>
            <w:r w:rsidRPr="663F1DD8" w:rsidR="077B038A">
              <w:rPr>
                <w:rFonts w:ascii="Calibri" w:hAnsi="Calibri" w:eastAsia="Calibri" w:cs="Calibri"/>
                <w:color w:val="000000" w:themeColor="text1" w:themeTint="FF" w:themeShade="FF"/>
                <w:sz w:val="24"/>
                <w:szCs w:val="24"/>
              </w:rPr>
              <w:t>Identify</w:t>
            </w:r>
            <w:r w:rsidRPr="663F1DD8" w:rsidR="077B038A">
              <w:rPr>
                <w:rFonts w:ascii="Calibri" w:hAnsi="Calibri" w:eastAsia="Calibri" w:cs="Calibri"/>
                <w:color w:val="000000" w:themeColor="text1" w:themeTint="FF" w:themeShade="FF"/>
                <w:sz w:val="24"/>
                <w:szCs w:val="24"/>
              </w:rPr>
              <w:t xml:space="preserve"> the impact of organizational change. </w:t>
            </w:r>
          </w:p>
          <w:p w:rsidR="6842DACE" w:rsidP="663F1DD8" w:rsidRDefault="6842DACE" w14:paraId="38140045" w14:textId="50E6C3A8">
            <w:pPr>
              <w:pStyle w:val="Normal"/>
              <w:spacing w:line="259" w:lineRule="auto"/>
            </w:pPr>
            <w:r w:rsidRPr="663F1DD8" w:rsidR="077B038A">
              <w:rPr>
                <w:rFonts w:ascii="Calibri" w:hAnsi="Calibri" w:eastAsia="Calibri" w:cs="Calibri"/>
                <w:color w:val="000000" w:themeColor="text1" w:themeTint="FF" w:themeShade="FF"/>
                <w:sz w:val="24"/>
                <w:szCs w:val="24"/>
              </w:rPr>
              <w:t xml:space="preserve">VI.3. </w:t>
            </w:r>
            <w:r w:rsidRPr="663F1DD8" w:rsidR="077B038A">
              <w:rPr>
                <w:rFonts w:ascii="Calibri" w:hAnsi="Calibri" w:eastAsia="Calibri" w:cs="Calibri"/>
                <w:color w:val="000000" w:themeColor="text1" w:themeTint="FF" w:themeShade="FF"/>
                <w:sz w:val="24"/>
                <w:szCs w:val="24"/>
              </w:rPr>
              <w:t>Identify</w:t>
            </w:r>
            <w:r w:rsidRPr="663F1DD8" w:rsidR="077B038A">
              <w:rPr>
                <w:rFonts w:ascii="Calibri" w:hAnsi="Calibri" w:eastAsia="Calibri" w:cs="Calibri"/>
                <w:color w:val="000000" w:themeColor="text1" w:themeTint="FF" w:themeShade="FF"/>
                <w:sz w:val="24"/>
                <w:szCs w:val="24"/>
              </w:rPr>
              <w:t xml:space="preserve"> human resource strategies for organizational best practices. </w:t>
            </w:r>
          </w:p>
          <w:p w:rsidR="6842DACE" w:rsidP="663F1DD8" w:rsidRDefault="6842DACE" w14:paraId="1F850B00" w14:textId="452500E3">
            <w:pPr>
              <w:pStyle w:val="Normal"/>
              <w:spacing w:line="259" w:lineRule="auto"/>
            </w:pPr>
            <w:r w:rsidRPr="663F1DD8" w:rsidR="077B038A">
              <w:rPr>
                <w:rFonts w:ascii="Calibri" w:hAnsi="Calibri" w:eastAsia="Calibri" w:cs="Calibri"/>
                <w:color w:val="000000" w:themeColor="text1" w:themeTint="FF" w:themeShade="FF"/>
                <w:sz w:val="24"/>
                <w:szCs w:val="24"/>
              </w:rPr>
              <w:t xml:space="preserve">VI.4. Utilize data-driven performance improvement techniques for decision making. </w:t>
            </w:r>
          </w:p>
          <w:p w:rsidR="6842DACE" w:rsidP="663F1DD8" w:rsidRDefault="6842DACE" w14:paraId="3F45B1C3" w14:textId="24F2FBA9">
            <w:pPr>
              <w:pStyle w:val="Normal"/>
              <w:spacing w:line="259" w:lineRule="auto"/>
            </w:pPr>
            <w:r w:rsidRPr="663F1DD8" w:rsidR="077B038A">
              <w:rPr>
                <w:rFonts w:ascii="Calibri" w:hAnsi="Calibri" w:eastAsia="Calibri" w:cs="Calibri"/>
                <w:color w:val="000000" w:themeColor="text1" w:themeTint="FF" w:themeShade="FF"/>
                <w:sz w:val="24"/>
                <w:szCs w:val="24"/>
              </w:rPr>
              <w:t xml:space="preserve">VI.5. Utilize </w:t>
            </w:r>
            <w:r w:rsidRPr="663F1DD8" w:rsidR="077B038A">
              <w:rPr>
                <w:rFonts w:ascii="Calibri" w:hAnsi="Calibri" w:eastAsia="Calibri" w:cs="Calibri"/>
                <w:color w:val="000000" w:themeColor="text1" w:themeTint="FF" w:themeShade="FF"/>
                <w:sz w:val="24"/>
                <w:szCs w:val="24"/>
              </w:rPr>
              <w:t>financial management</w:t>
            </w:r>
            <w:r w:rsidRPr="663F1DD8" w:rsidR="077B038A">
              <w:rPr>
                <w:rFonts w:ascii="Calibri" w:hAnsi="Calibri" w:eastAsia="Calibri" w:cs="Calibri"/>
                <w:color w:val="000000" w:themeColor="text1" w:themeTint="FF" w:themeShade="FF"/>
                <w:sz w:val="24"/>
                <w:szCs w:val="24"/>
              </w:rPr>
              <w:t xml:space="preserve"> processes. </w:t>
            </w:r>
          </w:p>
          <w:p w:rsidR="6842DACE" w:rsidP="663F1DD8" w:rsidRDefault="6842DACE" w14:paraId="72B17CB7" w14:textId="5A1599AC">
            <w:pPr>
              <w:pStyle w:val="Normal"/>
              <w:spacing w:line="259" w:lineRule="auto"/>
            </w:pPr>
            <w:r w:rsidRPr="663F1DD8" w:rsidR="077B038A">
              <w:rPr>
                <w:rFonts w:ascii="Calibri" w:hAnsi="Calibri" w:eastAsia="Calibri" w:cs="Calibri"/>
                <w:color w:val="000000" w:themeColor="text1" w:themeTint="FF" w:themeShade="FF"/>
                <w:sz w:val="24"/>
                <w:szCs w:val="24"/>
              </w:rPr>
              <w:t xml:space="preserve">VI.6. Examine behaviors that embrace cultural diversity. </w:t>
            </w:r>
          </w:p>
          <w:p w:rsidR="6842DACE" w:rsidP="663F1DD8" w:rsidRDefault="6842DACE" w14:paraId="34FB13A0" w14:textId="19717C11">
            <w:pPr>
              <w:pStyle w:val="Normal"/>
              <w:spacing w:line="259" w:lineRule="auto"/>
            </w:pPr>
            <w:r w:rsidRPr="663F1DD8" w:rsidR="077B038A">
              <w:rPr>
                <w:rFonts w:ascii="Calibri" w:hAnsi="Calibri" w:eastAsia="Calibri" w:cs="Calibri"/>
                <w:color w:val="000000" w:themeColor="text1" w:themeTint="FF" w:themeShade="FF"/>
                <w:sz w:val="24"/>
                <w:szCs w:val="24"/>
              </w:rPr>
              <w:t xml:space="preserve">VI.7. Assess ethical standards of practice. </w:t>
            </w:r>
          </w:p>
          <w:p w:rsidR="6842DACE" w:rsidP="663F1DD8" w:rsidRDefault="6842DACE" w14:paraId="111AE14A" w14:textId="3061A723">
            <w:pPr>
              <w:pStyle w:val="Normal"/>
              <w:spacing w:line="259" w:lineRule="auto"/>
            </w:pPr>
            <w:r w:rsidRPr="663F1DD8" w:rsidR="077B038A">
              <w:rPr>
                <w:rFonts w:ascii="Calibri" w:hAnsi="Calibri" w:eastAsia="Calibri" w:cs="Calibri"/>
                <w:color w:val="000000" w:themeColor="text1" w:themeTint="FF" w:themeShade="FF"/>
                <w:sz w:val="24"/>
                <w:szCs w:val="24"/>
              </w:rPr>
              <w:t xml:space="preserve">VI.8. Describe consumer engagement activities. </w:t>
            </w:r>
          </w:p>
          <w:p w:rsidR="6842DACE" w:rsidP="663F1DD8" w:rsidRDefault="6842DACE" w14:paraId="53222821" w14:textId="3043123F">
            <w:pPr>
              <w:pStyle w:val="Normal"/>
              <w:spacing w:line="259" w:lineRule="auto"/>
            </w:pPr>
            <w:r w:rsidRPr="663F1DD8" w:rsidR="077B038A">
              <w:rPr>
                <w:rFonts w:ascii="Calibri" w:hAnsi="Calibri" w:eastAsia="Calibri" w:cs="Calibri"/>
                <w:color w:val="000000" w:themeColor="text1" w:themeTint="FF" w:themeShade="FF"/>
                <w:sz w:val="24"/>
                <w:szCs w:val="24"/>
              </w:rPr>
              <w:t xml:space="preserve">VI.9. </w:t>
            </w:r>
            <w:r w:rsidRPr="663F1DD8" w:rsidR="077B038A">
              <w:rPr>
                <w:rFonts w:ascii="Calibri" w:hAnsi="Calibri" w:eastAsia="Calibri" w:cs="Calibri"/>
                <w:color w:val="000000" w:themeColor="text1" w:themeTint="FF" w:themeShade="FF"/>
                <w:sz w:val="24"/>
                <w:szCs w:val="24"/>
              </w:rPr>
              <w:t>Identify</w:t>
            </w:r>
            <w:r w:rsidRPr="663F1DD8" w:rsidR="077B038A">
              <w:rPr>
                <w:rFonts w:ascii="Calibri" w:hAnsi="Calibri" w:eastAsia="Calibri" w:cs="Calibri"/>
                <w:color w:val="000000" w:themeColor="text1" w:themeTint="FF" w:themeShade="FF"/>
                <w:sz w:val="24"/>
                <w:szCs w:val="24"/>
              </w:rPr>
              <w:t xml:space="preserve"> processes of workforce training for health care organizations.</w:t>
            </w:r>
          </w:p>
          <w:p w:rsidR="6842DACE" w:rsidP="6842DACE" w:rsidRDefault="6842DACE" w14:paraId="6927F8C1" w14:textId="5EAA24E0">
            <w:pPr>
              <w:spacing w:line="259" w:lineRule="auto"/>
              <w:rPr>
                <w:rFonts w:ascii="Calibri" w:hAnsi="Calibri" w:eastAsia="Calibri" w:cs="Calibri"/>
                <w:color w:val="000000" w:themeColor="text1" w:themeTint="FF" w:themeShade="FF"/>
                <w:sz w:val="24"/>
                <w:szCs w:val="24"/>
              </w:rPr>
            </w:pPr>
          </w:p>
          <w:p w:rsidR="6842DACE" w:rsidP="6842DACE" w:rsidRDefault="6842DACE" w14:paraId="6AB12543" w14:textId="1928660E">
            <w:pPr>
              <w:jc w:val="center"/>
              <w:rPr>
                <w:rFonts w:ascii="Calibri" w:hAnsi="Calibri" w:eastAsia="Calibri" w:cs="Calibri"/>
                <w:b w:val="1"/>
                <w:bCs w:val="1"/>
                <w:color w:val="000000" w:themeColor="text1" w:themeTint="FF" w:themeShade="FF"/>
                <w:sz w:val="24"/>
                <w:szCs w:val="24"/>
              </w:rPr>
            </w:pPr>
          </w:p>
        </w:tc>
      </w:tr>
      <w:tr w:rsidR="6842DACE" w:rsidTr="663F1DD8" w14:paraId="69C3EF47">
        <w:trPr>
          <w:trHeight w:val="390"/>
        </w:trPr>
        <w:tc>
          <w:tcPr>
            <w:tcW w:w="14526" w:type="dxa"/>
            <w:tcMar/>
          </w:tcPr>
          <w:p w:rsidR="6842DACE" w:rsidP="6842DACE" w:rsidRDefault="6842DACE" w14:paraId="0AF1F42A" w14:textId="3D4A2301">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8. Describe the assessment method used and the criteria for successful achievement of student learning outcomes. (e.g., rubrics, licensing exam, internship, portfolio, exam, quiz, research paper, performance exam, EAC, etc.)</w:t>
            </w:r>
          </w:p>
          <w:p w:rsidR="6842DACE" w:rsidP="6842DACE" w:rsidRDefault="6842DACE" w14:paraId="247A463E" w14:textId="1EE91CB1">
            <w:pPr>
              <w:spacing w:line="259" w:lineRule="auto"/>
              <w:rPr>
                <w:rFonts w:ascii="Calibri" w:hAnsi="Calibri" w:eastAsia="Calibri" w:cs="Calibri"/>
                <w:color w:val="000000" w:themeColor="text1" w:themeTint="FF" w:themeShade="FF"/>
                <w:sz w:val="24"/>
                <w:szCs w:val="24"/>
              </w:rPr>
            </w:pPr>
          </w:p>
          <w:p w:rsidR="6842DACE" w:rsidP="663F1DD8" w:rsidRDefault="6842DACE" w14:paraId="2C4A8E4E" w14:textId="4ADBE328">
            <w:pPr>
              <w:pStyle w:val="Normal"/>
              <w:spacing w:line="259" w:lineRule="auto"/>
              <w:rPr>
                <w:rFonts w:ascii="Calibri" w:hAnsi="Calibri" w:eastAsia="Calibri" w:cs="Calibri"/>
                <w:b w:val="0"/>
                <w:bCs w:val="0"/>
                <w:color w:val="000000" w:themeColor="text1" w:themeTint="FF" w:themeShade="FF"/>
                <w:sz w:val="24"/>
                <w:szCs w:val="24"/>
              </w:rPr>
            </w:pPr>
            <w:r w:rsidRPr="663F1DD8" w:rsidR="04C4CDED">
              <w:rPr>
                <w:rFonts w:ascii="Calibri" w:hAnsi="Calibri" w:eastAsia="Calibri" w:cs="Calibri"/>
                <w:b w:val="0"/>
                <w:bCs w:val="0"/>
                <w:color w:val="000000" w:themeColor="text1" w:themeTint="FF" w:themeShade="FF"/>
                <w:sz w:val="24"/>
                <w:szCs w:val="24"/>
              </w:rPr>
              <w:t xml:space="preserve">Mock </w:t>
            </w:r>
            <w:r w:rsidRPr="663F1DD8" w:rsidR="7C2C340D">
              <w:rPr>
                <w:rFonts w:ascii="Calibri" w:hAnsi="Calibri" w:eastAsia="Calibri" w:cs="Calibri"/>
                <w:b w:val="0"/>
                <w:bCs w:val="0"/>
                <w:color w:val="000000" w:themeColor="text1" w:themeTint="FF" w:themeShade="FF"/>
                <w:sz w:val="24"/>
                <w:szCs w:val="24"/>
              </w:rPr>
              <w:t xml:space="preserve">RHIT </w:t>
            </w:r>
            <w:r w:rsidRPr="663F1DD8" w:rsidR="04C4CDED">
              <w:rPr>
                <w:rFonts w:ascii="Calibri" w:hAnsi="Calibri" w:eastAsia="Calibri" w:cs="Calibri"/>
                <w:b w:val="0"/>
                <w:bCs w:val="0"/>
                <w:color w:val="000000" w:themeColor="text1" w:themeTint="FF" w:themeShade="FF"/>
                <w:sz w:val="24"/>
                <w:szCs w:val="24"/>
              </w:rPr>
              <w:t>Credentialing Exam; Multiple Choice</w:t>
            </w:r>
          </w:p>
          <w:p w:rsidR="6842DACE" w:rsidP="663F1DD8" w:rsidRDefault="6842DACE" w14:paraId="2B33288A" w14:textId="22A9C8C2">
            <w:pPr>
              <w:pStyle w:val="Normal"/>
              <w:spacing w:line="259" w:lineRule="auto"/>
              <w:rPr>
                <w:rFonts w:ascii="Calibri" w:hAnsi="Calibri" w:eastAsia="Calibri" w:cs="Calibri"/>
                <w:b w:val="0"/>
                <w:bCs w:val="0"/>
                <w:color w:val="000000" w:themeColor="text1" w:themeTint="FF" w:themeShade="FF"/>
                <w:sz w:val="24"/>
                <w:szCs w:val="24"/>
              </w:rPr>
            </w:pPr>
          </w:p>
          <w:p w:rsidR="6842DACE" w:rsidP="663F1DD8" w:rsidRDefault="6842DACE" w14:paraId="60EDAF99" w14:textId="4B594816">
            <w:pPr>
              <w:pStyle w:val="Normal"/>
              <w:spacing w:line="259" w:lineRule="auto"/>
              <w:rPr>
                <w:rFonts w:ascii="Calibri" w:hAnsi="Calibri" w:eastAsia="Calibri" w:cs="Calibri"/>
                <w:b w:val="0"/>
                <w:bCs w:val="0"/>
                <w:color w:val="000000" w:themeColor="text1" w:themeTint="FF" w:themeShade="FF"/>
                <w:sz w:val="24"/>
                <w:szCs w:val="24"/>
              </w:rPr>
            </w:pPr>
            <w:r w:rsidRPr="663F1DD8" w:rsidR="04C4CDED">
              <w:rPr>
                <w:rFonts w:ascii="Calibri" w:hAnsi="Calibri" w:eastAsia="Calibri" w:cs="Calibri"/>
                <w:b w:val="0"/>
                <w:bCs w:val="0"/>
                <w:color w:val="000000" w:themeColor="text1" w:themeTint="FF" w:themeShade="FF"/>
                <w:sz w:val="24"/>
                <w:szCs w:val="24"/>
              </w:rPr>
              <w:t xml:space="preserve">Goal: </w:t>
            </w:r>
          </w:p>
          <w:p w:rsidR="6842DACE" w:rsidP="663F1DD8" w:rsidRDefault="6842DACE" w14:paraId="165B658B" w14:textId="38CCB823">
            <w:pPr>
              <w:pStyle w:val="Normal"/>
              <w:spacing w:line="259" w:lineRule="auto"/>
              <w:rPr>
                <w:rFonts w:ascii="Calibri" w:hAnsi="Calibri" w:eastAsia="Calibri" w:cs="Calibri"/>
                <w:b w:val="0"/>
                <w:bCs w:val="0"/>
                <w:color w:val="000000" w:themeColor="text1" w:themeTint="FF" w:themeShade="FF"/>
                <w:sz w:val="24"/>
                <w:szCs w:val="24"/>
              </w:rPr>
            </w:pPr>
            <w:r w:rsidRPr="663F1DD8" w:rsidR="04C4CDED">
              <w:rPr>
                <w:rFonts w:ascii="Calibri" w:hAnsi="Calibri" w:eastAsia="Calibri" w:cs="Calibri"/>
                <w:b w:val="0"/>
                <w:bCs w:val="0"/>
                <w:color w:val="000000" w:themeColor="text1" w:themeTint="FF" w:themeShade="FF"/>
                <w:sz w:val="24"/>
                <w:szCs w:val="24"/>
              </w:rPr>
              <w:t>Students score 70% or higher (or 126+ out of 180)</w:t>
            </w:r>
          </w:p>
          <w:p w:rsidR="6842DACE" w:rsidP="663F1DD8" w:rsidRDefault="6842DACE" w14:paraId="35DD7330" w14:textId="395201C2">
            <w:pPr>
              <w:pStyle w:val="Normal"/>
              <w:spacing w:line="259" w:lineRule="auto"/>
              <w:rPr>
                <w:rFonts w:ascii="Calibri" w:hAnsi="Calibri" w:eastAsia="Calibri" w:cs="Calibri"/>
                <w:b w:val="0"/>
                <w:bCs w:val="0"/>
                <w:color w:val="000000" w:themeColor="text1" w:themeTint="FF" w:themeShade="FF"/>
                <w:sz w:val="24"/>
                <w:szCs w:val="24"/>
              </w:rPr>
            </w:pPr>
          </w:p>
          <w:p w:rsidR="6842DACE" w:rsidP="663F1DD8" w:rsidRDefault="6842DACE" w14:paraId="76C7A72C" w14:textId="524727A7">
            <w:pPr>
              <w:pStyle w:val="Normal"/>
              <w:spacing w:line="259" w:lineRule="auto"/>
              <w:rPr>
                <w:rFonts w:ascii="Calibri" w:hAnsi="Calibri" w:eastAsia="Calibri" w:cs="Calibri"/>
                <w:b w:val="0"/>
                <w:bCs w:val="0"/>
                <w:color w:val="000000" w:themeColor="text1" w:themeTint="FF" w:themeShade="FF"/>
                <w:sz w:val="24"/>
                <w:szCs w:val="24"/>
              </w:rPr>
            </w:pPr>
          </w:p>
          <w:p w:rsidR="6842DACE" w:rsidP="663F1DD8" w:rsidRDefault="6842DACE" w14:paraId="4CC6926B" w14:textId="71181165">
            <w:pPr>
              <w:pStyle w:val="Normal"/>
              <w:spacing w:line="259" w:lineRule="auto"/>
              <w:rPr>
                <w:rFonts w:ascii="Calibri" w:hAnsi="Calibri" w:eastAsia="Calibri" w:cs="Calibri"/>
                <w:b w:val="0"/>
                <w:bCs w:val="0"/>
                <w:color w:val="000000" w:themeColor="text1" w:themeTint="FF" w:themeShade="FF"/>
                <w:sz w:val="24"/>
                <w:szCs w:val="24"/>
              </w:rPr>
            </w:pPr>
            <w:r w:rsidRPr="663F1DD8" w:rsidR="295713AE">
              <w:rPr>
                <w:rFonts w:ascii="Calibri" w:hAnsi="Calibri" w:eastAsia="Calibri" w:cs="Calibri"/>
                <w:b w:val="0"/>
                <w:bCs w:val="0"/>
                <w:color w:val="000000" w:themeColor="text1" w:themeTint="FF" w:themeShade="FF"/>
                <w:sz w:val="24"/>
                <w:szCs w:val="24"/>
              </w:rPr>
              <w:t>Summer 2023 Results:</w:t>
            </w:r>
          </w:p>
          <w:p w:rsidR="6842DACE" w:rsidP="663F1DD8" w:rsidRDefault="6842DACE" w14:paraId="2752B11A" w14:textId="05C1293B">
            <w:pPr>
              <w:pStyle w:val="Normal"/>
              <w:spacing w:line="259" w:lineRule="auto"/>
              <w:rPr>
                <w:rFonts w:ascii="Calibri" w:hAnsi="Calibri" w:eastAsia="Calibri" w:cs="Calibri"/>
                <w:b w:val="0"/>
                <w:bCs w:val="0"/>
                <w:color w:val="000000" w:themeColor="text1" w:themeTint="FF" w:themeShade="FF"/>
                <w:sz w:val="24"/>
                <w:szCs w:val="24"/>
              </w:rPr>
            </w:pPr>
          </w:p>
          <w:p w:rsidR="6842DACE" w:rsidP="663F1DD8" w:rsidRDefault="6842DACE" w14:paraId="11175321" w14:textId="44E7EAF8">
            <w:pPr>
              <w:pStyle w:val="Normal"/>
              <w:spacing w:line="259" w:lineRule="auto"/>
            </w:pPr>
            <w:r w:rsidR="04C4CDED">
              <w:drawing>
                <wp:inline wp14:editId="6A990AA9" wp14:anchorId="724D98C3">
                  <wp:extent cx="923925" cy="4572000"/>
                  <wp:effectExtent l="0" t="0" r="0" b="0"/>
                  <wp:docPr id="1693462777" name="" title=""/>
                  <wp:cNvGraphicFramePr>
                    <a:graphicFrameLocks noChangeAspect="1"/>
                  </wp:cNvGraphicFramePr>
                  <a:graphic>
                    <a:graphicData uri="http://schemas.openxmlformats.org/drawingml/2006/picture">
                      <pic:pic>
                        <pic:nvPicPr>
                          <pic:cNvPr id="0" name=""/>
                          <pic:cNvPicPr/>
                        </pic:nvPicPr>
                        <pic:blipFill>
                          <a:blip r:embed="Ra4bb1bc4df644431">
                            <a:extLst>
                              <a:ext xmlns:a="http://schemas.openxmlformats.org/drawingml/2006/main" uri="{28A0092B-C50C-407E-A947-70E740481C1C}">
                                <a14:useLocalDpi val="0"/>
                              </a:ext>
                            </a:extLst>
                          </a:blip>
                          <a:stretch>
                            <a:fillRect/>
                          </a:stretch>
                        </pic:blipFill>
                        <pic:spPr>
                          <a:xfrm>
                            <a:off x="0" y="0"/>
                            <a:ext cx="923925" cy="4572000"/>
                          </a:xfrm>
                          <a:prstGeom prst="rect">
                            <a:avLst/>
                          </a:prstGeom>
                        </pic:spPr>
                      </pic:pic>
                    </a:graphicData>
                  </a:graphic>
                </wp:inline>
              </w:drawing>
            </w:r>
          </w:p>
          <w:p w:rsidR="6842DACE" w:rsidP="663F1DD8" w:rsidRDefault="6842DACE" w14:paraId="0CD909C3" w14:textId="2C227FD6">
            <w:pPr>
              <w:pStyle w:val="Normal"/>
              <w:spacing w:line="259" w:lineRule="auto"/>
              <w:rPr>
                <w:rFonts w:ascii="Calibri" w:hAnsi="Calibri" w:eastAsia="Calibri" w:cs="Calibri"/>
                <w:color w:val="000000" w:themeColor="text1" w:themeTint="FF" w:themeShade="FF"/>
                <w:sz w:val="24"/>
                <w:szCs w:val="24"/>
              </w:rPr>
            </w:pPr>
          </w:p>
          <w:p w:rsidR="6842DACE" w:rsidP="6842DACE" w:rsidRDefault="6842DACE" w14:paraId="07E9ABC6" w14:textId="0F9ECAE6">
            <w:pPr>
              <w:spacing w:line="259" w:lineRule="auto"/>
              <w:rPr>
                <w:rFonts w:ascii="Calibri" w:hAnsi="Calibri" w:eastAsia="Calibri" w:cs="Calibri"/>
                <w:b w:val="1"/>
                <w:bCs w:val="1"/>
                <w:color w:val="000000" w:themeColor="text1" w:themeTint="FF" w:themeShade="FF"/>
                <w:sz w:val="24"/>
                <w:szCs w:val="24"/>
              </w:rPr>
            </w:pPr>
          </w:p>
          <w:p w:rsidR="6842DACE" w:rsidP="6842DACE" w:rsidRDefault="6842DACE" w14:paraId="7B43BF56" w14:textId="37881488">
            <w:pPr>
              <w:spacing w:line="259" w:lineRule="auto"/>
              <w:rPr>
                <w:rFonts w:ascii="Calibri" w:hAnsi="Calibri" w:eastAsia="Calibri" w:cs="Calibri"/>
                <w:b w:val="1"/>
                <w:bCs w:val="1"/>
                <w:color w:val="000000" w:themeColor="text1" w:themeTint="FF" w:themeShade="FF"/>
                <w:sz w:val="24"/>
                <w:szCs w:val="24"/>
              </w:rPr>
            </w:pPr>
          </w:p>
        </w:tc>
      </w:tr>
      <w:tr w:rsidR="6842DACE" w:rsidTr="663F1DD8" w14:paraId="02D5449D">
        <w:trPr>
          <w:trHeight w:val="1600"/>
        </w:trPr>
        <w:tc>
          <w:tcPr>
            <w:tcW w:w="14526" w:type="dxa"/>
            <w:tcMar/>
          </w:tcPr>
          <w:p w:rsidR="6842DACE" w:rsidP="6842DACE" w:rsidRDefault="6842DACE" w14:paraId="79EE76D5" w14:textId="280A6D2C">
            <w:pPr>
              <w:spacing w:line="259" w:lineRule="auto"/>
              <w:rPr>
                <w:rFonts w:ascii="Calibri" w:hAnsi="Calibri" w:eastAsia="Calibri" w:cs="Calibri"/>
                <w:b w:val="1"/>
                <w:bCs w:val="1"/>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 xml:space="preserve">9. What percentage of the participating students were proficient in the PLOs, MSLOs or CSLOs?  What percentage of correct answers was determined as proficient? (For example, a student </w:t>
            </w:r>
            <w:proofErr w:type="gramStart"/>
            <w:r w:rsidRPr="7933FE0A" w:rsidR="6842DACE">
              <w:rPr>
                <w:rFonts w:ascii="Calibri" w:hAnsi="Calibri" w:eastAsia="Calibri" w:cs="Calibri"/>
                <w:b w:val="1"/>
                <w:bCs w:val="1"/>
                <w:color w:val="000000" w:themeColor="text1" w:themeTint="FF" w:themeShade="FF"/>
                <w:sz w:val="24"/>
                <w:szCs w:val="24"/>
              </w:rPr>
              <w:t>has to</w:t>
            </w:r>
            <w:proofErr w:type="gramEnd"/>
            <w:r w:rsidRPr="7933FE0A" w:rsidR="6842DACE">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6842DACE" w:rsidP="6842DACE" w:rsidRDefault="6842DACE" w14:paraId="54400BC5" w14:textId="5EC984EB">
            <w:pPr>
              <w:rPr>
                <w:rFonts w:ascii="Times New Roman" w:hAnsi="Times New Roman" w:eastAsia="Times New Roman" w:cs="Times New Roman"/>
                <w:color w:val="000000" w:themeColor="text1" w:themeTint="FF" w:themeShade="FF"/>
                <w:sz w:val="30"/>
                <w:szCs w:val="30"/>
              </w:rPr>
            </w:pPr>
          </w:p>
          <w:p w:rsidR="22BC25B7" w:rsidP="663F1DD8" w:rsidRDefault="22BC25B7" w14:paraId="4B36ED47" w14:textId="1A679B66">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Pr="663F1DD8" w:rsidR="22BC25B7">
              <w:rPr>
                <w:rFonts w:ascii="Calibri" w:hAnsi="Calibri" w:eastAsia="Calibri" w:cs="Calibri" w:asciiTheme="minorAscii" w:hAnsiTheme="minorAscii" w:eastAsiaTheme="minorAscii" w:cstheme="minorAscii"/>
                <w:color w:val="000000" w:themeColor="text1" w:themeTint="FF" w:themeShade="FF"/>
                <w:sz w:val="24"/>
                <w:szCs w:val="24"/>
              </w:rPr>
              <w:t>93% of students achieved 70% or higher on the RHIT Mock Exam during HIM296 in Summer 2023</w:t>
            </w:r>
          </w:p>
          <w:p w:rsidR="6842DACE" w:rsidP="6842DACE" w:rsidRDefault="6842DACE" w14:paraId="4D7F5EFF" w14:textId="7CDC74B0">
            <w:pPr>
              <w:rPr>
                <w:rFonts w:ascii="Times New Roman" w:hAnsi="Times New Roman" w:eastAsia="Times New Roman" w:cs="Times New Roman"/>
                <w:color w:val="000000" w:themeColor="text1" w:themeTint="FF" w:themeShade="FF"/>
                <w:sz w:val="30"/>
                <w:szCs w:val="30"/>
              </w:rPr>
            </w:pPr>
          </w:p>
          <w:p w:rsidR="6842DACE" w:rsidP="6842DACE" w:rsidRDefault="6842DACE" w14:paraId="5FB90C6B" w14:textId="79FC02D5">
            <w:pPr>
              <w:rPr>
                <w:rFonts w:ascii="Times New Roman" w:hAnsi="Times New Roman" w:eastAsia="Times New Roman" w:cs="Times New Roman"/>
                <w:color w:val="000000" w:themeColor="text1" w:themeTint="FF" w:themeShade="FF"/>
                <w:sz w:val="30"/>
                <w:szCs w:val="30"/>
              </w:rPr>
            </w:pPr>
          </w:p>
        </w:tc>
      </w:tr>
      <w:tr w:rsidR="6842DACE" w:rsidTr="663F1DD8" w14:paraId="79DD40B2">
        <w:trPr>
          <w:trHeight w:val="1600"/>
        </w:trPr>
        <w:tc>
          <w:tcPr>
            <w:tcW w:w="14526" w:type="dxa"/>
            <w:tcMar/>
          </w:tcPr>
          <w:p w:rsidR="575F7FCF" w:rsidP="6842DACE" w:rsidRDefault="575F7FCF" w14:paraId="0DE23CA3" w14:textId="1E12BCBB">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r w:rsidRPr="663F1DD8" w:rsidR="575F7FCF">
              <w:rPr>
                <w:rFonts w:ascii="Calibri" w:hAnsi="Calibri" w:eastAsia="Calibri" w:cs="Calibri"/>
                <w:b w:val="1"/>
                <w:bCs w:val="1"/>
                <w:color w:val="000000" w:themeColor="text1" w:themeTint="FF" w:themeShade="FF"/>
                <w:sz w:val="24"/>
                <w:szCs w:val="24"/>
              </w:rPr>
              <w:t>10. What changes/improvements were made or will be made in response to the outcomes of the assessment process?</w:t>
            </w:r>
          </w:p>
          <w:p w:rsidR="663F1DD8" w:rsidP="663F1DD8" w:rsidRDefault="663F1DD8" w14:paraId="46D335EC" w14:textId="462BB293">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p>
          <w:p w:rsidR="5AFA7484" w:rsidP="663F1DD8" w:rsidRDefault="5AFA7484" w14:paraId="0AF98632" w14:textId="48B5F76C">
            <w:pPr>
              <w:pStyle w:val="Normal"/>
              <w:bidi w:val="0"/>
              <w:spacing w:before="0" w:beforeAutospacing="off" w:after="0" w:afterAutospacing="off" w:line="259" w:lineRule="auto"/>
              <w:ind w:left="0" w:right="0"/>
              <w:jc w:val="left"/>
              <w:rPr>
                <w:rFonts w:ascii="Calibri" w:hAnsi="Calibri" w:eastAsia="Calibri" w:cs="Calibri"/>
                <w:b w:val="0"/>
                <w:bCs w:val="0"/>
                <w:color w:val="000000" w:themeColor="text1" w:themeTint="FF" w:themeShade="FF"/>
                <w:sz w:val="24"/>
                <w:szCs w:val="24"/>
              </w:rPr>
            </w:pPr>
            <w:r w:rsidRPr="663F1DD8" w:rsidR="5AFA7484">
              <w:rPr>
                <w:rFonts w:ascii="Calibri" w:hAnsi="Calibri" w:eastAsia="Calibri" w:cs="Calibri"/>
                <w:b w:val="0"/>
                <w:bCs w:val="0"/>
                <w:color w:val="000000" w:themeColor="text1" w:themeTint="FF" w:themeShade="FF"/>
                <w:sz w:val="24"/>
                <w:szCs w:val="24"/>
              </w:rPr>
              <w:t>For Summer 2023, updated the RHIT Mock Exam from the latest edition of the RHIT Exam Prep manual.</w:t>
            </w:r>
          </w:p>
          <w:p w:rsidR="6842DACE" w:rsidP="6842DACE" w:rsidRDefault="6842DACE" w14:paraId="643DAA9E" w14:textId="113FD8D6">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p>
          <w:p w:rsidR="6842DACE" w:rsidP="6842DACE" w:rsidRDefault="6842DACE" w14:paraId="7A9C047A" w14:textId="4D4C65A7">
            <w:pPr>
              <w:rPr>
                <w:rFonts w:ascii="Times New Roman" w:hAnsi="Times New Roman" w:eastAsia="Times New Roman" w:cs="Times New Roman"/>
                <w:color w:val="000000" w:themeColor="text1" w:themeTint="FF" w:themeShade="FF"/>
                <w:sz w:val="30"/>
                <w:szCs w:val="30"/>
              </w:rPr>
            </w:pPr>
          </w:p>
          <w:p w:rsidR="6842DACE" w:rsidP="6842DACE" w:rsidRDefault="6842DACE" w14:paraId="21C70689" w14:textId="07E1E5D4">
            <w:pPr>
              <w:rPr>
                <w:rFonts w:ascii="Times New Roman" w:hAnsi="Times New Roman" w:eastAsia="Times New Roman" w:cs="Times New Roman"/>
                <w:color w:val="000000" w:themeColor="text1" w:themeTint="FF" w:themeShade="FF"/>
                <w:sz w:val="30"/>
                <w:szCs w:val="30"/>
              </w:rPr>
            </w:pPr>
          </w:p>
          <w:p w:rsidR="6842DACE" w:rsidP="6842DACE" w:rsidRDefault="6842DACE" w14:paraId="1B1F9890" w14:textId="4CA8EA3E">
            <w:pPr>
              <w:rPr>
                <w:rFonts w:ascii="Times New Roman" w:hAnsi="Times New Roman" w:eastAsia="Times New Roman" w:cs="Times New Roman"/>
                <w:color w:val="000000" w:themeColor="text1" w:themeTint="FF" w:themeShade="FF"/>
                <w:sz w:val="30"/>
                <w:szCs w:val="30"/>
              </w:rPr>
            </w:pPr>
          </w:p>
          <w:p w:rsidR="6842DACE" w:rsidP="6842DACE" w:rsidRDefault="6842DACE" w14:paraId="3680C9E9" w14:textId="6F3EB134">
            <w:pPr>
              <w:rPr>
                <w:rFonts w:ascii="Times New Roman" w:hAnsi="Times New Roman" w:eastAsia="Times New Roman" w:cs="Times New Roman"/>
                <w:color w:val="000000" w:themeColor="text1" w:themeTint="FF" w:themeShade="FF"/>
                <w:sz w:val="30"/>
                <w:szCs w:val="30"/>
              </w:rPr>
            </w:pPr>
          </w:p>
        </w:tc>
      </w:tr>
      <w:tr w:rsidR="6842DACE" w:rsidTr="663F1DD8" w14:paraId="5319E1EA">
        <w:trPr>
          <w:trHeight w:val="1600"/>
        </w:trPr>
        <w:tc>
          <w:tcPr>
            <w:tcW w:w="14526" w:type="dxa"/>
            <w:tcMar/>
          </w:tcPr>
          <w:p w:rsidR="4AB298DD" w:rsidP="663F1DD8" w:rsidRDefault="4AB298DD" w14:paraId="00ACC8D2" w14:textId="4F644C93">
            <w:pPr>
              <w:pStyle w:val="Normal"/>
              <w:rPr>
                <w:b w:val="1"/>
                <w:bCs w:val="1"/>
              </w:rPr>
            </w:pPr>
            <w:r w:rsidRPr="663F1DD8" w:rsidR="4AB298DD">
              <w:rPr>
                <w:b w:val="1"/>
                <w:bCs w:val="1"/>
              </w:rPr>
              <w:t>Additional Comments or feedback on the Assessment Process (Optional):</w:t>
            </w:r>
          </w:p>
          <w:p w:rsidR="4AB298DD" w:rsidP="663F1DD8" w:rsidRDefault="4AB298DD" w14:paraId="5ECA62C4" w14:textId="25AF8362">
            <w:pPr>
              <w:pStyle w:val="Normal"/>
              <w:rPr>
                <w:b w:val="1"/>
                <w:bCs w:val="1"/>
              </w:rPr>
            </w:pPr>
          </w:p>
          <w:p w:rsidR="4AB298DD" w:rsidP="663F1DD8" w:rsidRDefault="4AB298DD" w14:paraId="5F4EAFD9" w14:textId="2D2FD848">
            <w:pPr>
              <w:pStyle w:val="Normal"/>
              <w:rPr>
                <w:b w:val="0"/>
                <w:bCs w:val="0"/>
              </w:rPr>
            </w:pPr>
            <w:r w:rsidR="38E018D4">
              <w:rPr>
                <w:b w:val="0"/>
                <w:bCs w:val="0"/>
              </w:rPr>
              <w:t>N/A</w:t>
            </w:r>
          </w:p>
        </w:tc>
      </w:tr>
    </w:tbl>
    <w:p w:rsidR="6842DACE" w:rsidP="6842DACE" w:rsidRDefault="6842DACE" w14:paraId="736DE904" w14:textId="24584090">
      <w:pPr>
        <w:pStyle w:val="Normal"/>
      </w:pPr>
    </w:p>
    <w:sectPr w:rsidR="7DB37E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171b5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48d323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3CBB7A"/>
    <w:rsid w:val="007B79B7"/>
    <w:rsid w:val="0090BF6A"/>
    <w:rsid w:val="01E99B7F"/>
    <w:rsid w:val="02C2E7AA"/>
    <w:rsid w:val="02DFDA74"/>
    <w:rsid w:val="034B8D89"/>
    <w:rsid w:val="03E729C5"/>
    <w:rsid w:val="049557C7"/>
    <w:rsid w:val="04A6C242"/>
    <w:rsid w:val="04C4CDED"/>
    <w:rsid w:val="04E8A730"/>
    <w:rsid w:val="070D2A87"/>
    <w:rsid w:val="077B038A"/>
    <w:rsid w:val="08B405A7"/>
    <w:rsid w:val="0A63B8C1"/>
    <w:rsid w:val="0B4DB1C8"/>
    <w:rsid w:val="0BA7300B"/>
    <w:rsid w:val="0BAB019D"/>
    <w:rsid w:val="0BFA5D98"/>
    <w:rsid w:val="0BFA5D98"/>
    <w:rsid w:val="0CE068A2"/>
    <w:rsid w:val="0D43006C"/>
    <w:rsid w:val="0EBB4287"/>
    <w:rsid w:val="0EFB85CE"/>
    <w:rsid w:val="0F161EF1"/>
    <w:rsid w:val="0F2EF085"/>
    <w:rsid w:val="0FAC07B7"/>
    <w:rsid w:val="103A4A03"/>
    <w:rsid w:val="1097CF8B"/>
    <w:rsid w:val="10A07A3B"/>
    <w:rsid w:val="10B80F3E"/>
    <w:rsid w:val="1186AF85"/>
    <w:rsid w:val="1253DF9F"/>
    <w:rsid w:val="12551230"/>
    <w:rsid w:val="12F289BF"/>
    <w:rsid w:val="138CF20D"/>
    <w:rsid w:val="13A983BF"/>
    <w:rsid w:val="13EE1FF2"/>
    <w:rsid w:val="13FA84C7"/>
    <w:rsid w:val="1427A87A"/>
    <w:rsid w:val="144F379B"/>
    <w:rsid w:val="149FAAF4"/>
    <w:rsid w:val="15ED618E"/>
    <w:rsid w:val="164F3978"/>
    <w:rsid w:val="16A13F9B"/>
    <w:rsid w:val="16EB46CC"/>
    <w:rsid w:val="1708CC8B"/>
    <w:rsid w:val="1719583D"/>
    <w:rsid w:val="181059B0"/>
    <w:rsid w:val="18343C12"/>
    <w:rsid w:val="187CF4E2"/>
    <w:rsid w:val="18FB199D"/>
    <w:rsid w:val="19250250"/>
    <w:rsid w:val="19766530"/>
    <w:rsid w:val="1A406D4D"/>
    <w:rsid w:val="1AB64154"/>
    <w:rsid w:val="1B4766A9"/>
    <w:rsid w:val="1CAE05F2"/>
    <w:rsid w:val="1CCBA33F"/>
    <w:rsid w:val="1CCBA33F"/>
    <w:rsid w:val="1E52A8F3"/>
    <w:rsid w:val="1E760A78"/>
    <w:rsid w:val="1EA419D0"/>
    <w:rsid w:val="1F238408"/>
    <w:rsid w:val="1FF783B4"/>
    <w:rsid w:val="2054DBEF"/>
    <w:rsid w:val="208CEE55"/>
    <w:rsid w:val="217DBBF3"/>
    <w:rsid w:val="21C5AFFB"/>
    <w:rsid w:val="223A02A9"/>
    <w:rsid w:val="22BC25B7"/>
    <w:rsid w:val="238E5920"/>
    <w:rsid w:val="242D9662"/>
    <w:rsid w:val="251CC5CE"/>
    <w:rsid w:val="262AE455"/>
    <w:rsid w:val="27F3FDD3"/>
    <w:rsid w:val="28E0D708"/>
    <w:rsid w:val="295713AE"/>
    <w:rsid w:val="29CBAD68"/>
    <w:rsid w:val="29F036F1"/>
    <w:rsid w:val="29F8DBC8"/>
    <w:rsid w:val="2A80E26A"/>
    <w:rsid w:val="2B312BAD"/>
    <w:rsid w:val="2B4EC63E"/>
    <w:rsid w:val="2C7B59E5"/>
    <w:rsid w:val="2D202CE4"/>
    <w:rsid w:val="2D7899A0"/>
    <w:rsid w:val="2DAF395C"/>
    <w:rsid w:val="2E30BA39"/>
    <w:rsid w:val="2E7680A1"/>
    <w:rsid w:val="2F0A47B6"/>
    <w:rsid w:val="2F318F82"/>
    <w:rsid w:val="2F3A94B3"/>
    <w:rsid w:val="2F3FFC01"/>
    <w:rsid w:val="2F684DD3"/>
    <w:rsid w:val="307A70D7"/>
    <w:rsid w:val="30B497C4"/>
    <w:rsid w:val="3176BF65"/>
    <w:rsid w:val="31790165"/>
    <w:rsid w:val="32164138"/>
    <w:rsid w:val="328C429E"/>
    <w:rsid w:val="32E6F90A"/>
    <w:rsid w:val="333D8D72"/>
    <w:rsid w:val="337826CB"/>
    <w:rsid w:val="3398EA37"/>
    <w:rsid w:val="341E7AE0"/>
    <w:rsid w:val="342FA684"/>
    <w:rsid w:val="354DE1FA"/>
    <w:rsid w:val="35A663F0"/>
    <w:rsid w:val="36190B72"/>
    <w:rsid w:val="364C364A"/>
    <w:rsid w:val="36FC313E"/>
    <w:rsid w:val="3810A357"/>
    <w:rsid w:val="38E018D4"/>
    <w:rsid w:val="38F1EC03"/>
    <w:rsid w:val="38F68592"/>
    <w:rsid w:val="3A4CFA5D"/>
    <w:rsid w:val="3BDAA1B2"/>
    <w:rsid w:val="3C03AB78"/>
    <w:rsid w:val="3C9A33B8"/>
    <w:rsid w:val="3D3057CB"/>
    <w:rsid w:val="3D3E743F"/>
    <w:rsid w:val="3DBBD670"/>
    <w:rsid w:val="3EC26894"/>
    <w:rsid w:val="3F1712B0"/>
    <w:rsid w:val="3F35A49B"/>
    <w:rsid w:val="3F58B60A"/>
    <w:rsid w:val="3FE78B14"/>
    <w:rsid w:val="3FEA9BEA"/>
    <w:rsid w:val="415036D5"/>
    <w:rsid w:val="41BD2463"/>
    <w:rsid w:val="41DD02B8"/>
    <w:rsid w:val="4200BF4A"/>
    <w:rsid w:val="423EE3E5"/>
    <w:rsid w:val="427B8A3C"/>
    <w:rsid w:val="42DF9C40"/>
    <w:rsid w:val="42F3BA16"/>
    <w:rsid w:val="436F4BC9"/>
    <w:rsid w:val="437368DF"/>
    <w:rsid w:val="43B5E520"/>
    <w:rsid w:val="43EF5F92"/>
    <w:rsid w:val="449252AA"/>
    <w:rsid w:val="45188310"/>
    <w:rsid w:val="4594053B"/>
    <w:rsid w:val="45E1F4B0"/>
    <w:rsid w:val="4744C93A"/>
    <w:rsid w:val="476723E7"/>
    <w:rsid w:val="47BF7859"/>
    <w:rsid w:val="47F5ADCF"/>
    <w:rsid w:val="4863492D"/>
    <w:rsid w:val="48868F70"/>
    <w:rsid w:val="495B48BA"/>
    <w:rsid w:val="49A1E85C"/>
    <w:rsid w:val="49AADAF1"/>
    <w:rsid w:val="49AADAF1"/>
    <w:rsid w:val="49CAE046"/>
    <w:rsid w:val="4AB298DD"/>
    <w:rsid w:val="4B40B7CB"/>
    <w:rsid w:val="4CA65E46"/>
    <w:rsid w:val="4CE808CB"/>
    <w:rsid w:val="4D42E470"/>
    <w:rsid w:val="4DBD0D2D"/>
    <w:rsid w:val="4DD3DE38"/>
    <w:rsid w:val="4E089A10"/>
    <w:rsid w:val="4E2A5AE9"/>
    <w:rsid w:val="4E5C3122"/>
    <w:rsid w:val="4EDA55DD"/>
    <w:rsid w:val="4F570236"/>
    <w:rsid w:val="4F6FAE99"/>
    <w:rsid w:val="4F70FE79"/>
    <w:rsid w:val="5070B099"/>
    <w:rsid w:val="509B0464"/>
    <w:rsid w:val="51566D8D"/>
    <w:rsid w:val="51B4E094"/>
    <w:rsid w:val="51DC8888"/>
    <w:rsid w:val="535B96A4"/>
    <w:rsid w:val="537B3ED4"/>
    <w:rsid w:val="53ADC700"/>
    <w:rsid w:val="551F18FE"/>
    <w:rsid w:val="55C0E444"/>
    <w:rsid w:val="575F7FCF"/>
    <w:rsid w:val="57CA2714"/>
    <w:rsid w:val="58512D2F"/>
    <w:rsid w:val="585810AC"/>
    <w:rsid w:val="5A28BE4D"/>
    <w:rsid w:val="5A2B626C"/>
    <w:rsid w:val="5AFA7484"/>
    <w:rsid w:val="5BBC5178"/>
    <w:rsid w:val="5BED08BF"/>
    <w:rsid w:val="5D249E52"/>
    <w:rsid w:val="5E8C7544"/>
    <w:rsid w:val="602132F4"/>
    <w:rsid w:val="6080D983"/>
    <w:rsid w:val="60CA1FCA"/>
    <w:rsid w:val="60F72DCB"/>
    <w:rsid w:val="61175E53"/>
    <w:rsid w:val="621565B7"/>
    <w:rsid w:val="62CE059E"/>
    <w:rsid w:val="6302B4FF"/>
    <w:rsid w:val="639076F6"/>
    <w:rsid w:val="63E3250A"/>
    <w:rsid w:val="64AB2613"/>
    <w:rsid w:val="64B9A8B2"/>
    <w:rsid w:val="64E882A9"/>
    <w:rsid w:val="650D08F4"/>
    <w:rsid w:val="652A45FD"/>
    <w:rsid w:val="652B39C6"/>
    <w:rsid w:val="65436E5A"/>
    <w:rsid w:val="6605A660"/>
    <w:rsid w:val="6628D97A"/>
    <w:rsid w:val="663F1DD8"/>
    <w:rsid w:val="6754B86D"/>
    <w:rsid w:val="67BF438B"/>
    <w:rsid w:val="682FA465"/>
    <w:rsid w:val="6842DACE"/>
    <w:rsid w:val="687B0F1C"/>
    <w:rsid w:val="691B2B83"/>
    <w:rsid w:val="6971F683"/>
    <w:rsid w:val="6B843950"/>
    <w:rsid w:val="6CE30EB5"/>
    <w:rsid w:val="6CF1E666"/>
    <w:rsid w:val="6DE238E4"/>
    <w:rsid w:val="6E1581A7"/>
    <w:rsid w:val="6E81602A"/>
    <w:rsid w:val="6E81631D"/>
    <w:rsid w:val="6ED12843"/>
    <w:rsid w:val="6FF566F6"/>
    <w:rsid w:val="701DE696"/>
    <w:rsid w:val="705F9470"/>
    <w:rsid w:val="70F85D9E"/>
    <w:rsid w:val="71A676D2"/>
    <w:rsid w:val="72333350"/>
    <w:rsid w:val="723CEE85"/>
    <w:rsid w:val="72752A4F"/>
    <w:rsid w:val="7287D17F"/>
    <w:rsid w:val="737E0CD5"/>
    <w:rsid w:val="742ED1FD"/>
    <w:rsid w:val="74D811C7"/>
    <w:rsid w:val="753A584B"/>
    <w:rsid w:val="754069C7"/>
    <w:rsid w:val="7549AB49"/>
    <w:rsid w:val="756AEDC1"/>
    <w:rsid w:val="76643034"/>
    <w:rsid w:val="781566E5"/>
    <w:rsid w:val="781E2025"/>
    <w:rsid w:val="7889902E"/>
    <w:rsid w:val="7933FE0A"/>
    <w:rsid w:val="79F211BC"/>
    <w:rsid w:val="7A71023E"/>
    <w:rsid w:val="7AEE7580"/>
    <w:rsid w:val="7BE22A8E"/>
    <w:rsid w:val="7C2C340D"/>
    <w:rsid w:val="7D0AEA3A"/>
    <w:rsid w:val="7D9A55A5"/>
    <w:rsid w:val="7DB37E02"/>
    <w:rsid w:val="7E04C582"/>
    <w:rsid w:val="7E2EC995"/>
    <w:rsid w:val="7EEF3993"/>
    <w:rsid w:val="7EF21D16"/>
    <w:rsid w:val="7F1D16D9"/>
    <w:rsid w:val="7FAEB9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3a838767832b4a70" /><Relationship Type="http://schemas.openxmlformats.org/officeDocument/2006/relationships/image" Target="/media/image3.png" Id="R1bba78f7ffb44afa" /><Relationship Type="http://schemas.openxmlformats.org/officeDocument/2006/relationships/numbering" Target="numbering.xml" Id="R97e438950c99414e" /><Relationship Type="http://schemas.openxmlformats.org/officeDocument/2006/relationships/image" Target="/media/image4.png" Id="R3103dbfb7a804a71" /><Relationship Type="http://schemas.openxmlformats.org/officeDocument/2006/relationships/image" Target="/media/image5.png" Id="Rfa5ae444befd498f" /><Relationship Type="http://schemas.openxmlformats.org/officeDocument/2006/relationships/hyperlink" Target="https://www.ahima.org/certification-careers/certification-exams/rhit/" TargetMode="External" Id="R315a6fcc8b3045ea" /><Relationship Type="http://schemas.openxmlformats.org/officeDocument/2006/relationships/image" Target="/media/image6.png" Id="Ra4bb1bc4df6444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Sandra Brightwell</DisplayName>
        <AccountId>65</AccountId>
        <AccountType/>
      </UserInfo>
      <UserInfo>
        <DisplayName>Amanda Potts</DisplayName>
        <AccountId>11</AccountId>
        <AccountType/>
      </UserInfo>
      <UserInfo>
        <DisplayName>Mary Kieser</DisplayName>
        <AccountId>12</AccountId>
        <AccountType/>
      </UserInfo>
    </SharedWithUsers>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03CFAA0E-1FF0-4973-A032-8416E35B69C0}"/>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Sandra Brightwell</cp:lastModifiedBy>
  <cp:revision>17</cp:revision>
  <dcterms:created xsi:type="dcterms:W3CDTF">2021-10-06T21:32:00Z</dcterms:created>
  <dcterms:modified xsi:type="dcterms:W3CDTF">2023-08-28T20:20:59Z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