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5E321C1B" w:rsidRDefault="3D3057CB" w14:paraId="4D923F29" w14:textId="73EBF9ED">
      <w:pPr>
        <w:pStyle w:val="Normal"/>
      </w:pPr>
      <w:r w:rsidR="66CAE62B">
        <w:drawing>
          <wp:inline wp14:editId="698B981A" wp14:anchorId="1970FE2C">
            <wp:extent cx="9229725" cy="964689"/>
            <wp:effectExtent l="0" t="0" r="0" b="0"/>
            <wp:docPr id="893309649" name="" title=""/>
            <wp:cNvGraphicFramePr>
              <a:graphicFrameLocks noChangeAspect="1"/>
            </wp:cNvGraphicFramePr>
            <a:graphic>
              <a:graphicData uri="http://schemas.openxmlformats.org/drawingml/2006/picture">
                <pic:pic>
                  <pic:nvPicPr>
                    <pic:cNvPr id="0" name=""/>
                    <pic:cNvPicPr/>
                  </pic:nvPicPr>
                  <pic:blipFill>
                    <a:blip r:embed="Rc7bfcea636934c4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229725" cy="964689"/>
                    </a:xfrm>
                    <a:prstGeom prst="rect">
                      <a:avLst/>
                    </a:prstGeom>
                  </pic:spPr>
                </pic:pic>
              </a:graphicData>
            </a:graphic>
          </wp:inline>
        </w:drawing>
      </w:r>
    </w:p>
    <w:tbl>
      <w:tblPr>
        <w:tblStyle w:val="TableGrid"/>
        <w:tblW w:w="14522" w:type="dxa"/>
        <w:tblLayout w:type="fixed"/>
        <w:tblLook w:val="06A0" w:firstRow="1" w:lastRow="0" w:firstColumn="1" w:lastColumn="0" w:noHBand="1" w:noVBand="1"/>
      </w:tblPr>
      <w:tblGrid>
        <w:gridCol w:w="14522"/>
      </w:tblGrid>
      <w:tr w:rsidR="000BC967" w:rsidTr="126DA2C8" w14:paraId="4261E927" w14:textId="77777777">
        <w:tc>
          <w:tcPr>
            <w:tcW w:w="14522" w:type="dxa"/>
            <w:shd w:val="clear" w:color="auto" w:fill="385623" w:themeFill="accent6" w:themeFillShade="80"/>
            <w:tcMar/>
          </w:tcPr>
          <w:p w:rsidR="7BE22A8E" w:rsidP="000BC967" w:rsidRDefault="7BE22A8E" w14:paraId="69C96B56" w14:textId="00D9B5A3">
            <w:pPr>
              <w:spacing w:line="259" w:lineRule="auto"/>
              <w:jc w:val="center"/>
              <w:rPr>
                <w:b w:val="1"/>
                <w:bCs w:val="1"/>
                <w:sz w:val="44"/>
                <w:szCs w:val="44"/>
              </w:rPr>
            </w:pPr>
            <w:r w:rsidRPr="6BF38F4E" w:rsidR="7BE22A8E">
              <w:rPr>
                <w:b w:val="1"/>
                <w:bCs w:val="1"/>
                <w:sz w:val="44"/>
                <w:szCs w:val="44"/>
              </w:rPr>
              <w:t>202</w:t>
            </w:r>
            <w:r w:rsidRPr="6BF38F4E" w:rsidR="6D716297">
              <w:rPr>
                <w:b w:val="1"/>
                <w:bCs w:val="1"/>
                <w:sz w:val="44"/>
                <w:szCs w:val="44"/>
              </w:rPr>
              <w:t>2</w:t>
            </w:r>
            <w:r w:rsidRPr="6BF38F4E" w:rsidR="7BE22A8E">
              <w:rPr>
                <w:b w:val="1"/>
                <w:bCs w:val="1"/>
                <w:sz w:val="44"/>
                <w:szCs w:val="44"/>
              </w:rPr>
              <w:t>-202</w:t>
            </w:r>
            <w:r w:rsidRPr="6BF38F4E" w:rsidR="37B545EF">
              <w:rPr>
                <w:b w:val="1"/>
                <w:bCs w:val="1"/>
                <w:sz w:val="44"/>
                <w:szCs w:val="44"/>
              </w:rPr>
              <w:t>3</w:t>
            </w:r>
            <w:r w:rsidRPr="6BF38F4E" w:rsidR="7BE22A8E">
              <w:rPr>
                <w:b w:val="1"/>
                <w:bCs w:val="1"/>
                <w:sz w:val="44"/>
                <w:szCs w:val="44"/>
              </w:rPr>
              <w:t xml:space="preserve"> Assessment Report</w:t>
            </w:r>
          </w:p>
        </w:tc>
      </w:tr>
      <w:tr w:rsidR="7DB37E02" w:rsidTr="126DA2C8" w14:paraId="05941C70" w14:textId="77777777">
        <w:trPr/>
        <w:tc>
          <w:tcPr>
            <w:tcW w:w="14522"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6BFF5176" w:rsidR="63E3250A">
              <w:rPr>
                <w:rFonts w:ascii="Calibri" w:hAnsi="Calibri" w:eastAsia="Calibri" w:cs="Calibri"/>
                <w:color w:val="000000" w:themeColor="text1" w:themeTint="FF" w:themeShade="FF"/>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6BFF5176" w:rsidRDefault="04E8A730" w14:paraId="7CC70936" w14:textId="5753FBE7">
            <w:pPr>
              <w:pStyle w:val="Normal"/>
              <w:jc w:val="center"/>
            </w:pPr>
            <w:r w:rsidR="0B301C8F">
              <w:drawing>
                <wp:inline wp14:editId="6BFF5176" wp14:anchorId="7BF50FC3">
                  <wp:extent cx="8162924" cy="1513543"/>
                  <wp:effectExtent l="0" t="0" r="0" b="0"/>
                  <wp:docPr id="1940954944" name="" title=""/>
                  <wp:cNvGraphicFramePr>
                    <a:graphicFrameLocks noChangeAspect="1"/>
                  </wp:cNvGraphicFramePr>
                  <a:graphic>
                    <a:graphicData uri="http://schemas.openxmlformats.org/drawingml/2006/picture">
                      <pic:pic>
                        <pic:nvPicPr>
                          <pic:cNvPr id="0" name=""/>
                          <pic:cNvPicPr/>
                        </pic:nvPicPr>
                        <pic:blipFill>
                          <a:blip r:embed="Rcdb22ae39fd64967">
                            <a:extLst>
                              <a:ext xmlns:a="http://schemas.openxmlformats.org/drawingml/2006/main" uri="{28A0092B-C50C-407E-A947-70E740481C1C}">
                                <a14:useLocalDpi val="0"/>
                              </a:ext>
                            </a:extLst>
                          </a:blip>
                          <a:stretch>
                            <a:fillRect/>
                          </a:stretch>
                        </pic:blipFill>
                        <pic:spPr>
                          <a:xfrm>
                            <a:off x="0" y="0"/>
                            <a:ext cx="8162924" cy="1513543"/>
                          </a:xfrm>
                          <a:prstGeom prst="rect">
                            <a:avLst/>
                          </a:prstGeom>
                        </pic:spPr>
                      </pic:pic>
                    </a:graphicData>
                  </a:graphic>
                </wp:inline>
              </w:drawing>
            </w:r>
          </w:p>
        </w:tc>
      </w:tr>
      <w:tr w:rsidR="7DB37E02" w:rsidTr="126DA2C8" w14:paraId="3F6BBCF2" w14:textId="77777777">
        <w:trPr/>
        <w:tc>
          <w:tcPr>
            <w:tcW w:w="14522" w:type="dxa"/>
            <w:shd w:val="clear" w:color="auto" w:fill="FFC000" w:themeFill="accent4"/>
            <w:tcMar/>
          </w:tcPr>
          <w:p w:rsidR="2F318F82" w:rsidP="4EA6DFDA" w:rsidRDefault="2F318F82" w14:paraId="2656C218" w14:textId="5EA3C4AB">
            <w:pPr>
              <w:pStyle w:val="Normal"/>
              <w:jc w:val="center"/>
              <w:rPr>
                <w:rFonts w:ascii="Times New Roman" w:hAnsi="Times New Roman" w:eastAsia="Times New Roman" w:cs="Times New Roman"/>
                <w:b w:val="1"/>
                <w:bCs w:val="1"/>
                <w:color w:val="000000" w:themeColor="text1"/>
                <w:sz w:val="30"/>
                <w:szCs w:val="30"/>
              </w:rPr>
            </w:pPr>
            <w:r w:rsidRPr="0CAF2854" w:rsidR="4EA6DFD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0CAF2854" w:rsidR="02DFDA74">
              <w:rPr>
                <w:rFonts w:ascii="Times New Roman" w:hAnsi="Times New Roman" w:eastAsia="Times New Roman" w:cs="Times New Roman"/>
                <w:b w:val="1"/>
                <w:bCs w:val="1"/>
                <w:color w:val="000000" w:themeColor="text1" w:themeTint="FF" w:themeShade="FF"/>
                <w:sz w:val="30"/>
                <w:szCs w:val="30"/>
              </w:rPr>
              <w:t xml:space="preserve"> Oct. </w:t>
            </w:r>
            <w:r w:rsidRPr="0CAF2854" w:rsidR="1BE1EC2F">
              <w:rPr>
                <w:rFonts w:ascii="Times New Roman" w:hAnsi="Times New Roman" w:eastAsia="Times New Roman" w:cs="Times New Roman"/>
                <w:b w:val="1"/>
                <w:bCs w:val="1"/>
                <w:color w:val="000000" w:themeColor="text1" w:themeTint="FF" w:themeShade="FF"/>
                <w:sz w:val="30"/>
                <w:szCs w:val="30"/>
              </w:rPr>
              <w:t>13</w:t>
            </w:r>
            <w:r w:rsidRPr="0CAF2854" w:rsidR="02DFDA74">
              <w:rPr>
                <w:rFonts w:ascii="Times New Roman" w:hAnsi="Times New Roman" w:eastAsia="Times New Roman" w:cs="Times New Roman"/>
                <w:b w:val="1"/>
                <w:bCs w:val="1"/>
                <w:color w:val="000000" w:themeColor="text1" w:themeTint="FF" w:themeShade="FF"/>
                <w:sz w:val="30"/>
                <w:szCs w:val="30"/>
              </w:rPr>
              <w:t>, 202</w:t>
            </w:r>
            <w:r w:rsidRPr="0CAF2854" w:rsidR="7FFAE11A">
              <w:rPr>
                <w:rFonts w:ascii="Times New Roman" w:hAnsi="Times New Roman" w:eastAsia="Times New Roman" w:cs="Times New Roman"/>
                <w:b w:val="1"/>
                <w:bCs w:val="1"/>
                <w:color w:val="000000" w:themeColor="text1" w:themeTint="FF" w:themeShade="FF"/>
                <w:sz w:val="30"/>
                <w:szCs w:val="30"/>
              </w:rPr>
              <w:t>2</w:t>
            </w:r>
          </w:p>
        </w:tc>
      </w:tr>
      <w:tr w:rsidR="7DB37E02" w:rsidTr="126DA2C8" w14:paraId="58C0C5C4" w14:textId="77777777">
        <w:trPr>
          <w:trHeight w:val="435"/>
        </w:trPr>
        <w:tc>
          <w:tcPr>
            <w:tcW w:w="14522"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716BCA1" w:rsidR="3F35A49B">
              <w:rPr>
                <w:rFonts w:ascii="Calibri" w:hAnsi="Calibri" w:eastAsia="Calibri" w:cs="Calibri"/>
                <w:b w:val="1"/>
                <w:bCs w:val="1"/>
                <w:color w:val="000000" w:themeColor="text1" w:themeTint="FF" w:themeShade="FF"/>
                <w:sz w:val="24"/>
                <w:szCs w:val="24"/>
              </w:rPr>
              <w:t>1. Program name or course name and number</w:t>
            </w:r>
            <w:r w:rsidRPr="0716BCA1" w:rsidR="3F35A49B">
              <w:rPr>
                <w:rFonts w:ascii="Calibri" w:hAnsi="Calibri" w:eastAsia="Calibri" w:cs="Calibri"/>
                <w:color w:val="000000" w:themeColor="text1" w:themeTint="FF" w:themeShade="FF"/>
                <w:sz w:val="24"/>
                <w:szCs w:val="24"/>
              </w:rPr>
              <w:t>:</w:t>
            </w:r>
            <w:r w:rsidRPr="0716BCA1" w:rsidR="138CF20D">
              <w:rPr>
                <w:rFonts w:ascii="Calibri" w:hAnsi="Calibri" w:eastAsia="Calibri" w:cs="Calibri"/>
                <w:color w:val="000000" w:themeColor="text1" w:themeTint="FF" w:themeShade="FF"/>
                <w:sz w:val="24"/>
                <w:szCs w:val="24"/>
              </w:rPr>
              <w:t xml:space="preserve"> </w:t>
            </w:r>
          </w:p>
          <w:p w:rsidR="2F318F82" w:rsidP="0716BCA1" w:rsidRDefault="2F318F82" w14:paraId="058A99B4" w14:textId="1DDD8718">
            <w:pPr>
              <w:pStyle w:val="Normal"/>
              <w:spacing w:line="259" w:lineRule="auto"/>
              <w:rPr>
                <w:rFonts w:ascii="Calibri" w:hAnsi="Calibri" w:eastAsia="Calibri" w:cs="Calibri"/>
                <w:noProof w:val="0"/>
                <w:sz w:val="24"/>
                <w:szCs w:val="24"/>
                <w:lang w:val="en-US"/>
              </w:rPr>
            </w:pPr>
            <w:r w:rsidRPr="0716BCA1" w:rsidR="1D06D2AA">
              <w:rPr>
                <w:rFonts w:ascii="Calibri" w:hAnsi="Calibri" w:eastAsia="Calibri" w:cs="Calibri"/>
                <w:noProof w:val="0"/>
                <w:color w:val="000000" w:themeColor="text1" w:themeTint="FF" w:themeShade="FF"/>
                <w:sz w:val="24"/>
                <w:szCs w:val="24"/>
                <w:lang w:val="en-US"/>
              </w:rPr>
              <w:t>AJS 260 Procedural Law</w:t>
            </w:r>
          </w:p>
        </w:tc>
      </w:tr>
      <w:tr w:rsidR="000BC967" w:rsidTr="126DA2C8" w14:paraId="080224C4" w14:textId="77777777">
        <w:trPr>
          <w:trHeight w:val="390"/>
        </w:trPr>
        <w:tc>
          <w:tcPr>
            <w:tcW w:w="14522" w:type="dxa"/>
            <w:shd w:val="clear" w:color="auto" w:fill="D9D9D9" w:themeFill="background1" w:themeFillShade="D9"/>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5B567115">
            <w:pPr>
              <w:spacing w:line="259" w:lineRule="auto"/>
              <w:rPr>
                <w:rFonts w:ascii="Calibri" w:hAnsi="Calibri" w:eastAsia="Calibri" w:cs="Calibri"/>
                <w:color w:val="000000" w:themeColor="text1"/>
                <w:sz w:val="24"/>
                <w:szCs w:val="24"/>
              </w:rPr>
            </w:pPr>
            <w:r w:rsidRPr="0716BCA1" w:rsidR="422E81EE">
              <w:rPr>
                <w:rFonts w:ascii="Calibri" w:hAnsi="Calibri" w:eastAsia="Calibri" w:cs="Calibri"/>
                <w:color w:val="000000" w:themeColor="text1" w:themeTint="FF" w:themeShade="FF"/>
                <w:sz w:val="24"/>
                <w:szCs w:val="24"/>
              </w:rPr>
              <w:t>Adm</w:t>
            </w:r>
            <w:r w:rsidRPr="0716BCA1" w:rsidR="7A201169">
              <w:rPr>
                <w:rFonts w:ascii="Calibri" w:hAnsi="Calibri" w:eastAsia="Calibri" w:cs="Calibri"/>
                <w:color w:val="000000" w:themeColor="text1" w:themeTint="FF" w:themeShade="FF"/>
                <w:sz w:val="24"/>
                <w:szCs w:val="24"/>
              </w:rPr>
              <w:t>.</w:t>
            </w:r>
            <w:r w:rsidRPr="0716BCA1" w:rsidR="422E81EE">
              <w:rPr>
                <w:rFonts w:ascii="Calibri" w:hAnsi="Calibri" w:eastAsia="Calibri" w:cs="Calibri"/>
                <w:color w:val="000000" w:themeColor="text1" w:themeTint="FF" w:themeShade="FF"/>
                <w:sz w:val="24"/>
                <w:szCs w:val="24"/>
              </w:rPr>
              <w:t xml:space="preserve"> of Justice </w:t>
            </w:r>
            <w:r w:rsidRPr="0716BCA1" w:rsidR="422E81EE">
              <w:rPr>
                <w:rFonts w:ascii="Calibri" w:hAnsi="Calibri" w:eastAsia="Calibri" w:cs="Calibri"/>
                <w:color w:val="000000" w:themeColor="text1" w:themeTint="FF" w:themeShade="FF"/>
                <w:sz w:val="24"/>
                <w:szCs w:val="24"/>
              </w:rPr>
              <w:t>Prgm</w:t>
            </w:r>
            <w:r w:rsidRPr="0716BCA1" w:rsidR="7A201169">
              <w:rPr>
                <w:rFonts w:ascii="Calibri" w:hAnsi="Calibri" w:eastAsia="Calibri" w:cs="Calibri"/>
                <w:color w:val="000000" w:themeColor="text1" w:themeTint="FF" w:themeShade="FF"/>
                <w:sz w:val="24"/>
                <w:szCs w:val="24"/>
              </w:rPr>
              <w:t>.</w:t>
            </w:r>
          </w:p>
        </w:tc>
      </w:tr>
      <w:tr w:rsidR="000BC967" w:rsidTr="126DA2C8" w14:paraId="2CEBECC4" w14:textId="77777777">
        <w:trPr>
          <w:trHeight w:val="390"/>
        </w:trPr>
        <w:tc>
          <w:tcPr>
            <w:tcW w:w="14522"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3. Date form completed</w:t>
            </w:r>
            <w:r w:rsidRPr="0716BCA1" w:rsidR="64E882A9">
              <w:rPr>
                <w:rFonts w:ascii="Calibri" w:hAnsi="Calibri" w:eastAsia="Calibri" w:cs="Calibri"/>
                <w:color w:val="000000" w:themeColor="text1" w:themeTint="FF" w:themeShade="FF"/>
                <w:sz w:val="24"/>
                <w:szCs w:val="24"/>
              </w:rPr>
              <w:t>:</w:t>
            </w:r>
          </w:p>
          <w:p w:rsidR="000BC967" w:rsidP="0716BCA1" w:rsidRDefault="000BC967" w14:paraId="48B57970" w14:textId="0F1B0FA7">
            <w:pPr>
              <w:pStyle w:val="Normal"/>
              <w:spacing w:line="259" w:lineRule="auto"/>
              <w:rPr>
                <w:rFonts w:ascii="Calibri" w:hAnsi="Calibri" w:eastAsia="Calibri" w:cs="Calibri"/>
                <w:noProof w:val="0"/>
                <w:sz w:val="24"/>
                <w:szCs w:val="24"/>
                <w:lang w:val="en-US"/>
              </w:rPr>
            </w:pPr>
            <w:r w:rsidRPr="126DA2C8" w:rsidR="1CF92E0B">
              <w:rPr>
                <w:rFonts w:ascii="Calibri" w:hAnsi="Calibri" w:eastAsia="Calibri" w:cs="Calibri"/>
                <w:noProof w:val="0"/>
                <w:color w:val="000000" w:themeColor="text1" w:themeTint="FF" w:themeShade="FF"/>
                <w:sz w:val="24"/>
                <w:szCs w:val="24"/>
                <w:lang w:val="en-US"/>
              </w:rPr>
              <w:t xml:space="preserve">October </w:t>
            </w:r>
            <w:r w:rsidRPr="126DA2C8" w:rsidR="29BFF927">
              <w:rPr>
                <w:rFonts w:ascii="Calibri" w:hAnsi="Calibri" w:eastAsia="Calibri" w:cs="Calibri"/>
                <w:noProof w:val="0"/>
                <w:color w:val="000000" w:themeColor="text1" w:themeTint="FF" w:themeShade="FF"/>
                <w:sz w:val="24"/>
                <w:szCs w:val="24"/>
                <w:lang w:val="en-US"/>
              </w:rPr>
              <w:t>13</w:t>
            </w:r>
            <w:r w:rsidRPr="126DA2C8" w:rsidR="1CF92E0B">
              <w:rPr>
                <w:rFonts w:ascii="Calibri" w:hAnsi="Calibri" w:eastAsia="Calibri" w:cs="Calibri"/>
                <w:noProof w:val="0"/>
                <w:color w:val="000000" w:themeColor="text1" w:themeTint="FF" w:themeShade="FF"/>
                <w:sz w:val="24"/>
                <w:szCs w:val="24"/>
                <w:lang w:val="en-US"/>
              </w:rPr>
              <w:t>, 202</w:t>
            </w:r>
            <w:r w:rsidRPr="126DA2C8" w:rsidR="155B6666">
              <w:rPr>
                <w:rFonts w:ascii="Calibri" w:hAnsi="Calibri" w:eastAsia="Calibri" w:cs="Calibri"/>
                <w:noProof w:val="0"/>
                <w:color w:val="000000" w:themeColor="text1" w:themeTint="FF" w:themeShade="FF"/>
                <w:sz w:val="24"/>
                <w:szCs w:val="24"/>
                <w:lang w:val="en-US"/>
              </w:rPr>
              <w:t>2</w:t>
            </w:r>
          </w:p>
        </w:tc>
      </w:tr>
      <w:tr w:rsidR="000BC967" w:rsidTr="126DA2C8" w14:paraId="6F13CCC6" w14:textId="77777777">
        <w:trPr>
          <w:trHeight w:val="390"/>
        </w:trPr>
        <w:tc>
          <w:tcPr>
            <w:tcW w:w="14522" w:type="dxa"/>
            <w:shd w:val="clear" w:color="auto" w:fill="D9D9D9" w:themeFill="background1" w:themeFillShade="D9"/>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4. Name of person completing report</w:t>
            </w:r>
            <w:r w:rsidRPr="0716BCA1" w:rsidR="64E882A9">
              <w:rPr>
                <w:rFonts w:ascii="Calibri" w:hAnsi="Calibri" w:eastAsia="Calibri" w:cs="Calibri"/>
                <w:color w:val="000000" w:themeColor="text1" w:themeTint="FF" w:themeShade="FF"/>
                <w:sz w:val="24"/>
                <w:szCs w:val="24"/>
              </w:rPr>
              <w:t>:</w:t>
            </w:r>
          </w:p>
          <w:p w:rsidR="000BC967" w:rsidP="0716BCA1" w:rsidRDefault="000BC967" w14:paraId="0585A8E7" w14:textId="152C5F23">
            <w:pPr>
              <w:pStyle w:val="Normal"/>
              <w:spacing w:line="259" w:lineRule="auto"/>
              <w:rPr>
                <w:rFonts w:ascii="Calibri" w:hAnsi="Calibri" w:eastAsia="Calibri" w:cs="Calibri"/>
                <w:noProof w:val="0"/>
                <w:sz w:val="24"/>
                <w:szCs w:val="24"/>
                <w:lang w:val="en-US"/>
              </w:rPr>
            </w:pPr>
            <w:r w:rsidRPr="0716BCA1" w:rsidR="76E5850F">
              <w:rPr>
                <w:rFonts w:ascii="Calibri" w:hAnsi="Calibri" w:eastAsia="Calibri" w:cs="Calibri"/>
                <w:noProof w:val="0"/>
                <w:color w:val="000000" w:themeColor="text1" w:themeTint="FF" w:themeShade="FF"/>
                <w:sz w:val="24"/>
                <w:szCs w:val="24"/>
                <w:lang w:val="en-US"/>
              </w:rPr>
              <w:t>John Foust</w:t>
            </w:r>
          </w:p>
        </w:tc>
      </w:tr>
      <w:tr w:rsidR="000BC967" w:rsidTr="126DA2C8" w14:paraId="16ED9B36" w14:textId="77777777">
        <w:trPr>
          <w:trHeight w:val="390"/>
        </w:trPr>
        <w:tc>
          <w:tcPr>
            <w:tcW w:w="14522"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5. Semester and year in which the assessment was conducted</w:t>
            </w:r>
            <w:r w:rsidRPr="0716BCA1" w:rsidR="64E882A9">
              <w:rPr>
                <w:rFonts w:ascii="Calibri" w:hAnsi="Calibri" w:eastAsia="Calibri" w:cs="Calibri"/>
                <w:color w:val="000000" w:themeColor="text1" w:themeTint="FF" w:themeShade="FF"/>
                <w:sz w:val="24"/>
                <w:szCs w:val="24"/>
              </w:rPr>
              <w:t>:</w:t>
            </w:r>
          </w:p>
          <w:p w:rsidR="000BC967" w:rsidP="0716BCA1" w:rsidRDefault="000BC967" w14:paraId="47035D64" w14:textId="5C853809">
            <w:pPr>
              <w:pStyle w:val="Normal"/>
              <w:spacing w:line="259" w:lineRule="auto"/>
              <w:rPr>
                <w:rFonts w:ascii="Calibri" w:hAnsi="Calibri" w:eastAsia="Calibri" w:cs="Calibri"/>
                <w:noProof w:val="0"/>
                <w:sz w:val="24"/>
                <w:szCs w:val="24"/>
                <w:lang w:val="en-US"/>
              </w:rPr>
            </w:pPr>
            <w:r w:rsidRPr="126DA2C8" w:rsidR="26156591">
              <w:rPr>
                <w:rFonts w:ascii="Calibri" w:hAnsi="Calibri" w:eastAsia="Calibri" w:cs="Calibri"/>
                <w:noProof w:val="0"/>
                <w:color w:val="000000" w:themeColor="text1" w:themeTint="FF" w:themeShade="FF"/>
                <w:sz w:val="24"/>
                <w:szCs w:val="24"/>
                <w:lang w:val="en-US"/>
              </w:rPr>
              <w:t>Fall 202</w:t>
            </w:r>
            <w:r w:rsidRPr="126DA2C8" w:rsidR="3ADAE705">
              <w:rPr>
                <w:rFonts w:ascii="Calibri" w:hAnsi="Calibri" w:eastAsia="Calibri" w:cs="Calibri"/>
                <w:noProof w:val="0"/>
                <w:color w:val="000000" w:themeColor="text1" w:themeTint="FF" w:themeShade="FF"/>
                <w:sz w:val="24"/>
                <w:szCs w:val="24"/>
                <w:lang w:val="en-US"/>
              </w:rPr>
              <w:t>2</w:t>
            </w:r>
          </w:p>
        </w:tc>
      </w:tr>
      <w:tr w:rsidR="000BC967" w:rsidTr="126DA2C8" w14:paraId="634A744F" w14:textId="77777777">
        <w:trPr>
          <w:trHeight w:val="390"/>
        </w:trPr>
        <w:tc>
          <w:tcPr>
            <w:tcW w:w="14522" w:type="dxa"/>
            <w:shd w:val="clear" w:color="auto" w:fill="D9D9D9" w:themeFill="background1" w:themeFillShade="D9"/>
            <w:tcMar/>
          </w:tcPr>
          <w:p w:rsidR="64E882A9" w:rsidP="000BC967" w:rsidRDefault="64E882A9" w14:paraId="1FDDAE5C" w14:textId="025B01E9">
            <w:pPr>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6. Number of student participants</w:t>
            </w:r>
            <w:r w:rsidRPr="0716BCA1" w:rsidR="64E882A9">
              <w:rPr>
                <w:rFonts w:ascii="Calibri" w:hAnsi="Calibri" w:eastAsia="Calibri" w:cs="Calibri"/>
                <w:color w:val="000000" w:themeColor="text1" w:themeTint="FF" w:themeShade="FF"/>
                <w:sz w:val="24"/>
                <w:szCs w:val="24"/>
              </w:rPr>
              <w:t>:</w:t>
            </w:r>
          </w:p>
          <w:p w:rsidR="000BC967" w:rsidP="0716BCA1" w:rsidRDefault="000BC967" w14:paraId="0746BC1C" w14:textId="184664B7">
            <w:pPr>
              <w:pStyle w:val="Normal"/>
              <w:rPr>
                <w:rFonts w:ascii="Calibri" w:hAnsi="Calibri" w:eastAsia="Calibri" w:cs="Calibri"/>
                <w:noProof w:val="0"/>
                <w:sz w:val="24"/>
                <w:szCs w:val="24"/>
                <w:lang w:val="en-US"/>
              </w:rPr>
            </w:pPr>
            <w:r w:rsidRPr="126DA2C8" w:rsidR="216D7B41">
              <w:rPr>
                <w:rFonts w:ascii="Calibri" w:hAnsi="Calibri" w:eastAsia="Calibri" w:cs="Calibri"/>
                <w:noProof w:val="0"/>
                <w:color w:val="000000" w:themeColor="text1" w:themeTint="FF" w:themeShade="FF"/>
                <w:sz w:val="24"/>
                <w:szCs w:val="24"/>
                <w:lang w:val="en-US"/>
              </w:rPr>
              <w:t>1</w:t>
            </w:r>
            <w:r w:rsidRPr="126DA2C8" w:rsidR="74ADD8FE">
              <w:rPr>
                <w:rFonts w:ascii="Calibri" w:hAnsi="Calibri" w:eastAsia="Calibri" w:cs="Calibri"/>
                <w:noProof w:val="0"/>
                <w:color w:val="000000" w:themeColor="text1" w:themeTint="FF" w:themeShade="FF"/>
                <w:sz w:val="24"/>
                <w:szCs w:val="24"/>
                <w:lang w:val="en-US"/>
              </w:rPr>
              <w:t>8</w:t>
            </w:r>
          </w:p>
        </w:tc>
      </w:tr>
      <w:tr w:rsidR="000BC967" w:rsidTr="126DA2C8" w14:paraId="38B9C526" w14:textId="77777777">
        <w:trPr>
          <w:trHeight w:val="390"/>
        </w:trPr>
        <w:tc>
          <w:tcPr>
            <w:tcW w:w="14522"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716BCA1" w:rsidRDefault="000BC967" w14:paraId="28D6D591" w14:textId="4809293F">
            <w:pPr>
              <w:pStyle w:val="Normal"/>
              <w:spacing w:line="259" w:lineRule="auto"/>
              <w:rPr>
                <w:rFonts w:ascii="Calibri" w:hAnsi="Calibri" w:eastAsia="Calibri" w:cs="Calibri"/>
                <w:noProof w:val="0"/>
                <w:sz w:val="24"/>
                <w:szCs w:val="24"/>
                <w:lang w:val="en-US"/>
              </w:rPr>
            </w:pPr>
            <w:r w:rsidRPr="0716BCA1" w:rsidR="38E40709">
              <w:rPr>
                <w:rFonts w:ascii="Calibri" w:hAnsi="Calibri" w:eastAsia="Calibri" w:cs="Calibri"/>
                <w:color w:val="000000" w:themeColor="text1" w:themeTint="FF" w:themeShade="FF"/>
                <w:sz w:val="24"/>
                <w:szCs w:val="24"/>
              </w:rPr>
              <w:t>1 (John Foust)</w:t>
            </w:r>
          </w:p>
        </w:tc>
      </w:tr>
      <w:tr w:rsidR="000BC967" w:rsidTr="126DA2C8" w14:paraId="0F8CFABD" w14:textId="77777777">
        <w:trPr>
          <w:trHeight w:val="390"/>
        </w:trPr>
        <w:tc>
          <w:tcPr>
            <w:tcW w:w="14522"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8. What PLOs and/or MSLOs and CSLOs did you assess for this baseline assessment? (For clarity, please label each measure listed as a PLO, MSLO, or CSLO.)</w:t>
            </w:r>
          </w:p>
          <w:p w:rsidR="000BC967" w:rsidP="0716BCA1" w:rsidRDefault="000BC967" w14:paraId="682D6626" w14:textId="01655626">
            <w:pPr>
              <w:spacing w:line="257" w:lineRule="auto"/>
            </w:pPr>
            <w:r w:rsidRPr="0716BCA1" w:rsidR="1DF9CD76">
              <w:rPr>
                <w:rFonts w:ascii="Calibri" w:hAnsi="Calibri" w:eastAsia="Calibri" w:cs="Calibri"/>
                <w:noProof w:val="0"/>
                <w:color w:val="000000" w:themeColor="text1" w:themeTint="FF" w:themeShade="FF"/>
                <w:sz w:val="24"/>
                <w:szCs w:val="24"/>
                <w:lang w:val="en-US"/>
              </w:rPr>
              <w:t>MSLO</w:t>
            </w:r>
            <w:r w:rsidRPr="0716BCA1" w:rsidR="1DF9CD76">
              <w:rPr>
                <w:rFonts w:ascii="Calibri" w:hAnsi="Calibri" w:eastAsia="Calibri" w:cs="Calibri"/>
                <w:noProof w:val="0"/>
                <w:sz w:val="24"/>
                <w:szCs w:val="24"/>
                <w:lang w:val="en-US"/>
              </w:rPr>
              <w:t xml:space="preserve"> #5:  Examine the exclusionary rule and the exceptions to it, and the fruit of the poisonous tree doctrine and the exceptions to it.</w:t>
            </w:r>
          </w:p>
          <w:p w:rsidR="000BC967" w:rsidP="0716BCA1" w:rsidRDefault="000BC967" w14:paraId="1CC043F6" w14:textId="507817E8">
            <w:pPr>
              <w:spacing w:line="257" w:lineRule="auto"/>
            </w:pPr>
            <w:r w:rsidRPr="0716BCA1" w:rsidR="1DF9CD76">
              <w:rPr>
                <w:rFonts w:ascii="Calibri" w:hAnsi="Calibri" w:eastAsia="Calibri" w:cs="Calibri"/>
                <w:noProof w:val="0"/>
                <w:sz w:val="24"/>
                <w:szCs w:val="24"/>
                <w:lang w:val="en-US"/>
              </w:rPr>
              <w:t>MSLO #10: Examine plea bargaining and summarize the arguments for and against its use.</w:t>
            </w:r>
          </w:p>
        </w:tc>
      </w:tr>
      <w:tr w:rsidR="000BC967" w:rsidTr="126DA2C8" w14:paraId="0FE194E8" w14:textId="77777777">
        <w:trPr>
          <w:trHeight w:val="390"/>
        </w:trPr>
        <w:tc>
          <w:tcPr>
            <w:tcW w:w="14522"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716BCA1" w:rsidR="64E882A9">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000BC967" w:rsidP="0716BCA1" w:rsidRDefault="000BC967" w14:paraId="02C18DD8" w14:textId="508DD187">
            <w:pPr>
              <w:spacing w:line="257" w:lineRule="auto"/>
            </w:pPr>
            <w:r w:rsidRPr="0716BCA1" w:rsidR="0F1B8BAC">
              <w:rPr>
                <w:rFonts w:ascii="Calibri" w:hAnsi="Calibri" w:eastAsia="Calibri" w:cs="Calibri"/>
                <w:noProof w:val="0"/>
                <w:color w:val="000000" w:themeColor="text1" w:themeTint="FF" w:themeShade="FF"/>
                <w:sz w:val="24"/>
                <w:szCs w:val="24"/>
                <w:lang w:val="en-US"/>
              </w:rPr>
              <w:t>Student performance is assessed with written exams and quizzes that contain questions in a variety of formats (matching, true-false, multiple, choice, etc.).</w:t>
            </w:r>
          </w:p>
        </w:tc>
      </w:tr>
      <w:tr w:rsidR="000BC967" w:rsidTr="126DA2C8" w14:paraId="054664FE" w14:textId="77777777">
        <w:trPr>
          <w:trHeight w:val="420"/>
        </w:trPr>
        <w:tc>
          <w:tcPr>
            <w:tcW w:w="14522" w:type="dxa"/>
            <w:shd w:val="clear" w:color="auto" w:fill="FFC000" w:themeFill="accent4"/>
            <w:tcMar/>
          </w:tcPr>
          <w:p w:rsidR="238E5920" w:rsidP="000BC967" w:rsidRDefault="238E5920" w14:paraId="6AF770AA" w14:textId="66ADC0B0">
            <w:pPr>
              <w:jc w:val="center"/>
              <w:rPr>
                <w:rFonts w:ascii="Times New Roman" w:hAnsi="Times New Roman" w:eastAsia="Times New Roman" w:cs="Times New Roman"/>
                <w:b w:val="1"/>
                <w:bCs w:val="1"/>
                <w:color w:val="000000" w:themeColor="text1"/>
                <w:sz w:val="30"/>
                <w:szCs w:val="30"/>
              </w:rPr>
            </w:pPr>
            <w:r w:rsidRPr="0CAF2854" w:rsidR="238E5920">
              <w:rPr>
                <w:rFonts w:ascii="Times New Roman" w:hAnsi="Times New Roman" w:eastAsia="Times New Roman" w:cs="Times New Roman"/>
                <w:b w:val="1"/>
                <w:bCs w:val="1"/>
                <w:color w:val="000000" w:themeColor="text1" w:themeTint="FF" w:themeShade="FF"/>
                <w:sz w:val="30"/>
                <w:szCs w:val="30"/>
              </w:rPr>
              <w:t xml:space="preserve">Program </w:t>
            </w:r>
            <w:r w:rsidRPr="0CAF2854" w:rsidR="01E99B7F">
              <w:rPr>
                <w:rFonts w:ascii="Times New Roman" w:hAnsi="Times New Roman" w:eastAsia="Times New Roman" w:cs="Times New Roman"/>
                <w:b w:val="1"/>
                <w:bCs w:val="1"/>
                <w:color w:val="000000" w:themeColor="text1" w:themeTint="FF" w:themeShade="FF"/>
                <w:sz w:val="30"/>
                <w:szCs w:val="30"/>
              </w:rPr>
              <w:t>Re</w:t>
            </w:r>
            <w:r w:rsidRPr="0CAF2854" w:rsidR="238E5920">
              <w:rPr>
                <w:rFonts w:ascii="Times New Roman" w:hAnsi="Times New Roman" w:eastAsia="Times New Roman" w:cs="Times New Roman"/>
                <w:b w:val="1"/>
                <w:bCs w:val="1"/>
                <w:color w:val="000000" w:themeColor="text1" w:themeTint="FF" w:themeShade="FF"/>
                <w:sz w:val="30"/>
                <w:szCs w:val="30"/>
              </w:rPr>
              <w:t>s</w:t>
            </w:r>
            <w:r w:rsidRPr="0CAF285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0CAF2854" w:rsidR="7D0AEA3A">
              <w:rPr>
                <w:rFonts w:ascii="Times New Roman" w:hAnsi="Times New Roman" w:eastAsia="Times New Roman" w:cs="Times New Roman"/>
                <w:b w:val="1"/>
                <w:bCs w:val="1"/>
                <w:color w:val="000000" w:themeColor="text1" w:themeTint="FF" w:themeShade="FF"/>
                <w:sz w:val="30"/>
                <w:szCs w:val="30"/>
              </w:rPr>
              <w:t>December 1</w:t>
            </w:r>
            <w:r w:rsidRPr="0CAF2854" w:rsidR="71595CFC">
              <w:rPr>
                <w:rFonts w:ascii="Times New Roman" w:hAnsi="Times New Roman" w:eastAsia="Times New Roman" w:cs="Times New Roman"/>
                <w:b w:val="1"/>
                <w:bCs w:val="1"/>
                <w:color w:val="000000" w:themeColor="text1" w:themeTint="FF" w:themeShade="FF"/>
                <w:sz w:val="30"/>
                <w:szCs w:val="30"/>
              </w:rPr>
              <w:t>0</w:t>
            </w:r>
            <w:r w:rsidRPr="0CAF2854" w:rsidR="7D0AEA3A">
              <w:rPr>
                <w:rFonts w:ascii="Times New Roman" w:hAnsi="Times New Roman" w:eastAsia="Times New Roman" w:cs="Times New Roman"/>
                <w:b w:val="1"/>
                <w:bCs w:val="1"/>
                <w:color w:val="000000" w:themeColor="text1" w:themeTint="FF" w:themeShade="FF"/>
                <w:sz w:val="30"/>
                <w:szCs w:val="30"/>
              </w:rPr>
              <w:t>, 202</w:t>
            </w:r>
            <w:r w:rsidRPr="0CAF2854" w:rsidR="581165B4">
              <w:rPr>
                <w:rFonts w:ascii="Times New Roman" w:hAnsi="Times New Roman" w:eastAsia="Times New Roman" w:cs="Times New Roman"/>
                <w:b w:val="1"/>
                <w:bCs w:val="1"/>
                <w:color w:val="000000" w:themeColor="text1" w:themeTint="FF" w:themeShade="FF"/>
                <w:sz w:val="30"/>
                <w:szCs w:val="30"/>
              </w:rPr>
              <w:t>2</w:t>
            </w:r>
          </w:p>
        </w:tc>
      </w:tr>
      <w:tr w:rsidR="000BC967" w:rsidTr="126DA2C8" w14:paraId="216DE764" w14:textId="77777777">
        <w:trPr>
          <w:trHeight w:val="1600"/>
        </w:trPr>
        <w:tc>
          <w:tcPr>
            <w:tcW w:w="14522" w:type="dxa"/>
            <w:tcMar/>
          </w:tcPr>
          <w:p w:rsidR="2D202CE4" w:rsidP="000BC967" w:rsidRDefault="2D202CE4" w14:paraId="738584EB" w14:textId="7B784DAC">
            <w:pPr>
              <w:spacing w:line="259" w:lineRule="auto"/>
              <w:rPr>
                <w:rFonts w:ascii="Calibri" w:hAnsi="Calibri" w:eastAsia="Calibri" w:cs="Calibri"/>
                <w:b/>
                <w:bCs/>
                <w:color w:val="000000" w:themeColor="text1"/>
                <w:sz w:val="24"/>
                <w:szCs w:val="24"/>
              </w:rPr>
            </w:pPr>
            <w:r w:rsidRPr="000BC967">
              <w:rPr>
                <w:rFonts w:ascii="Calibri" w:hAnsi="Calibri" w:eastAsia="Calibri" w:cs="Calibri"/>
                <w:b/>
                <w:bCs/>
                <w:color w:val="000000" w:themeColor="text1"/>
                <w:sz w:val="24"/>
                <w:szCs w:val="24"/>
              </w:rPr>
              <w:t>10. What percentage of the participating students were proficient in the PLOs, MSLOs or CSLOs?  What percentage of correct answers was determined as proficient? (For example, a student has to answer 70% of the questions correctly to be considered proficient.)</w:t>
            </w:r>
          </w:p>
          <w:p w:rsidR="000BC967" w:rsidP="000BC967" w:rsidRDefault="000BC967" w14:paraId="5B8D123E" w14:textId="5EC984EB">
            <w:pPr>
              <w:rPr>
                <w:rFonts w:ascii="Times New Roman" w:hAnsi="Times New Roman" w:eastAsia="Times New Roman" w:cs="Times New Roman"/>
                <w:color w:val="000000" w:themeColor="text1"/>
                <w:sz w:val="30"/>
                <w:szCs w:val="30"/>
              </w:rPr>
            </w:pPr>
          </w:p>
          <w:p w:rsidR="000BC967" w:rsidP="6A728EAB" w:rsidRDefault="000BC967" w14:paraId="280A1363" w14:textId="673F7297">
            <w:pPr>
              <w:spacing w:line="257" w:lineRule="auto"/>
              <w:rPr>
                <w:rFonts w:ascii="Calibri" w:hAnsi="Calibri" w:eastAsia="Calibri" w:cs="Calibri"/>
                <w:noProof w:val="0"/>
                <w:color w:val="000000" w:themeColor="text1" w:themeTint="FF" w:themeShade="FF"/>
                <w:sz w:val="24"/>
                <w:szCs w:val="24"/>
                <w:lang w:val="en-US"/>
              </w:rPr>
            </w:pPr>
            <w:r w:rsidRPr="6A728EAB" w:rsidR="067E411F">
              <w:rPr>
                <w:rFonts w:ascii="Calibri" w:hAnsi="Calibri" w:eastAsia="Calibri" w:cs="Calibri"/>
                <w:noProof w:val="0"/>
                <w:color w:val="000000" w:themeColor="text1" w:themeTint="FF" w:themeShade="FF"/>
                <w:sz w:val="24"/>
                <w:szCs w:val="24"/>
                <w:lang w:val="en-US"/>
              </w:rPr>
              <w:t>MSLO #5: Examine the exclusionary rule and the exceptions to it, and the fruit of the poisonous tree doctrine and the exceptions to it. 70% correct response or better is considered proficient.</w:t>
            </w:r>
          </w:p>
          <w:p w:rsidR="000BC967" w:rsidP="6A728EAB" w:rsidRDefault="000BC967" w14:paraId="4411A724" w14:textId="0D154254">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4"/>
                <w:szCs w:val="24"/>
              </w:rPr>
            </w:pPr>
            <w:r w:rsidRPr="084FFEA7" w:rsidR="067E411F">
              <w:rPr>
                <w:rFonts w:ascii="Calibri" w:hAnsi="Calibri" w:eastAsia="Calibri" w:cs="Calibri"/>
                <w:noProof w:val="0"/>
                <w:color w:val="000000" w:themeColor="text1" w:themeTint="FF" w:themeShade="FF"/>
                <w:sz w:val="24"/>
                <w:szCs w:val="24"/>
                <w:lang w:val="en-US"/>
              </w:rPr>
              <w:t xml:space="preserve">Students were </w:t>
            </w:r>
            <w:proofErr w:type="gramStart"/>
            <w:r w:rsidRPr="084FFEA7" w:rsidR="067E411F">
              <w:rPr>
                <w:rFonts w:ascii="Calibri" w:hAnsi="Calibri" w:eastAsia="Calibri" w:cs="Calibri"/>
                <w:noProof w:val="0"/>
                <w:color w:val="000000" w:themeColor="text1" w:themeTint="FF" w:themeShade="FF"/>
                <w:sz w:val="24"/>
                <w:szCs w:val="24"/>
                <w:lang w:val="en-US"/>
              </w:rPr>
              <w:t>presented</w:t>
            </w:r>
            <w:proofErr w:type="gramEnd"/>
            <w:r w:rsidRPr="084FFEA7" w:rsidR="067E411F">
              <w:rPr>
                <w:rFonts w:ascii="Calibri" w:hAnsi="Calibri" w:eastAsia="Calibri" w:cs="Calibri"/>
                <w:noProof w:val="0"/>
                <w:color w:val="000000" w:themeColor="text1" w:themeTint="FF" w:themeShade="FF"/>
                <w:sz w:val="24"/>
                <w:szCs w:val="24"/>
                <w:lang w:val="en-US"/>
              </w:rPr>
              <w:t xml:space="preserve"> ten test items. The average score of the items was </w:t>
            </w:r>
            <w:r w:rsidRPr="084FFEA7" w:rsidR="067E411F">
              <w:rPr>
                <w:rFonts w:ascii="Calibri" w:hAnsi="Calibri" w:eastAsia="Calibri" w:cs="Calibri"/>
                <w:b w:val="1"/>
                <w:bCs w:val="1"/>
                <w:noProof w:val="0"/>
                <w:color w:val="000000" w:themeColor="text1" w:themeTint="FF" w:themeShade="FF"/>
                <w:sz w:val="24"/>
                <w:szCs w:val="24"/>
                <w:lang w:val="en-US"/>
              </w:rPr>
              <w:t>89.55% correct</w:t>
            </w:r>
            <w:r w:rsidRPr="084FFEA7" w:rsidR="067E411F">
              <w:rPr>
                <w:rFonts w:ascii="Calibri" w:hAnsi="Calibri" w:eastAsia="Calibri" w:cs="Calibri"/>
                <w:noProof w:val="0"/>
                <w:color w:val="000000" w:themeColor="text1" w:themeTint="FF" w:themeShade="FF"/>
                <w:sz w:val="24"/>
                <w:szCs w:val="24"/>
                <w:lang w:val="en-US"/>
              </w:rPr>
              <w:t>.</w:t>
            </w:r>
          </w:p>
          <w:p w:rsidR="5BF8D440" w:rsidP="084FFEA7" w:rsidRDefault="5BF8D440" w14:paraId="08A8B06B" w14:textId="3B01027A">
            <w:pPr>
              <w:pStyle w:val="ListParagraph"/>
              <w:numPr>
                <w:ilvl w:val="0"/>
                <w:numId w:val="1"/>
              </w:numPr>
              <w:rPr>
                <w:noProof w:val="0"/>
                <w:color w:val="000000" w:themeColor="text1" w:themeTint="FF" w:themeShade="FF"/>
                <w:sz w:val="24"/>
                <w:szCs w:val="24"/>
                <w:lang w:val="en-US"/>
              </w:rPr>
            </w:pPr>
            <w:r w:rsidRPr="084FFEA7" w:rsidR="5BF8D440">
              <w:rPr>
                <w:rFonts w:ascii="Calibri" w:hAnsi="Calibri" w:eastAsia="Calibri" w:cs="Calibri"/>
                <w:noProof w:val="0"/>
                <w:color w:val="000000" w:themeColor="text1" w:themeTint="FF" w:themeShade="FF"/>
                <w:sz w:val="24"/>
                <w:szCs w:val="24"/>
                <w:lang w:val="en-US"/>
              </w:rPr>
              <w:t>MSLO #10: Examine plea bargaining and summarize the arguments for and against its use. 70% correct response or better is considered proficient.</w:t>
            </w:r>
          </w:p>
          <w:p w:rsidR="5BF8D440" w:rsidP="084FFEA7" w:rsidRDefault="5BF8D440" w14:paraId="5A24184B" w14:textId="387F8F0D">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4"/>
                <w:szCs w:val="24"/>
              </w:rPr>
            </w:pPr>
            <w:r w:rsidRPr="084FFEA7" w:rsidR="5BF8D440">
              <w:rPr>
                <w:rFonts w:ascii="Calibri" w:hAnsi="Calibri" w:eastAsia="Calibri" w:cs="Calibri"/>
                <w:noProof w:val="0"/>
                <w:color w:val="000000" w:themeColor="text1" w:themeTint="FF" w:themeShade="FF"/>
                <w:sz w:val="24"/>
                <w:szCs w:val="24"/>
                <w:lang w:val="en-US"/>
              </w:rPr>
              <w:t xml:space="preserve">Students were </w:t>
            </w:r>
            <w:proofErr w:type="gramStart"/>
            <w:r w:rsidRPr="084FFEA7" w:rsidR="5BF8D440">
              <w:rPr>
                <w:rFonts w:ascii="Calibri" w:hAnsi="Calibri" w:eastAsia="Calibri" w:cs="Calibri"/>
                <w:noProof w:val="0"/>
                <w:color w:val="000000" w:themeColor="text1" w:themeTint="FF" w:themeShade="FF"/>
                <w:sz w:val="24"/>
                <w:szCs w:val="24"/>
                <w:lang w:val="en-US"/>
              </w:rPr>
              <w:t>presented</w:t>
            </w:r>
            <w:proofErr w:type="gramEnd"/>
            <w:r w:rsidRPr="084FFEA7" w:rsidR="5BF8D440">
              <w:rPr>
                <w:rFonts w:ascii="Calibri" w:hAnsi="Calibri" w:eastAsia="Calibri" w:cs="Calibri"/>
                <w:noProof w:val="0"/>
                <w:color w:val="000000" w:themeColor="text1" w:themeTint="FF" w:themeShade="FF"/>
                <w:sz w:val="24"/>
                <w:szCs w:val="24"/>
                <w:lang w:val="en-US"/>
              </w:rPr>
              <w:t xml:space="preserve"> 19 test items. The average score of the items was </w:t>
            </w:r>
            <w:r w:rsidRPr="084FFEA7" w:rsidR="5BF8D440">
              <w:rPr>
                <w:rFonts w:ascii="Calibri" w:hAnsi="Calibri" w:eastAsia="Calibri" w:cs="Calibri"/>
                <w:b w:val="1"/>
                <w:bCs w:val="1"/>
                <w:noProof w:val="0"/>
                <w:color w:val="000000" w:themeColor="text1" w:themeTint="FF" w:themeShade="FF"/>
                <w:sz w:val="24"/>
                <w:szCs w:val="24"/>
                <w:lang w:val="en-US"/>
              </w:rPr>
              <w:t>89.56% correct</w:t>
            </w:r>
            <w:r w:rsidRPr="084FFEA7" w:rsidR="5BF8D440">
              <w:rPr>
                <w:rFonts w:ascii="Calibri" w:hAnsi="Calibri" w:eastAsia="Calibri" w:cs="Calibri"/>
                <w:noProof w:val="0"/>
                <w:color w:val="000000" w:themeColor="text1" w:themeTint="FF" w:themeShade="FF"/>
                <w:sz w:val="24"/>
                <w:szCs w:val="24"/>
                <w:lang w:val="en-US"/>
              </w:rPr>
              <w:t>.</w:t>
            </w:r>
          </w:p>
          <w:p w:rsidR="000BC967" w:rsidP="6A728EAB" w:rsidRDefault="000BC967" w14:paraId="671C0301" w14:textId="32AC51DF">
            <w:pPr>
              <w:pStyle w:val="Normal"/>
              <w:rPr>
                <w:rFonts w:ascii="Calibri" w:hAnsi="Calibri" w:eastAsia="Calibri" w:cs="Calibri"/>
                <w:color w:val="000000" w:themeColor="text1" w:themeTint="FF" w:themeShade="FF"/>
                <w:sz w:val="24"/>
                <w:szCs w:val="24"/>
              </w:rPr>
            </w:pPr>
          </w:p>
        </w:tc>
      </w:tr>
      <w:tr w:rsidR="000BC967" w:rsidTr="126DA2C8" w14:paraId="72F4D3D9" w14:textId="77777777">
        <w:trPr>
          <w:trHeight w:val="1600"/>
        </w:trPr>
        <w:tc>
          <w:tcPr>
            <w:tcW w:w="14522" w:type="dxa"/>
            <w:shd w:val="clear" w:color="auto" w:fill="D9D9D9" w:themeFill="background1" w:themeFillShade="D9"/>
            <w:tcMar/>
          </w:tcPr>
          <w:p w:rsidR="36CA4211" w:rsidP="084FFEA7" w:rsidRDefault="36CA4211" w14:paraId="5803196E" w14:textId="0095CE1E">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84FFEA7" w:rsidR="36CA4211">
              <w:rPr>
                <w:rFonts w:ascii="Calibri" w:hAnsi="Calibri" w:eastAsia="Calibri" w:cs="Calibri"/>
                <w:b w:val="1"/>
                <w:bCs w:val="1"/>
                <w:i w:val="0"/>
                <w:iCs w:val="0"/>
                <w:caps w:val="0"/>
                <w:smallCaps w:val="0"/>
                <w:noProof w:val="0"/>
                <w:color w:val="000000" w:themeColor="text1" w:themeTint="FF" w:themeShade="FF"/>
                <w:sz w:val="24"/>
                <w:szCs w:val="24"/>
                <w:lang w:val="en-US"/>
              </w:rPr>
              <w:t>11. What changes/improvements were made or will be made in response to the outcomes of the assessment process?</w:t>
            </w:r>
          </w:p>
          <w:p w:rsidR="084FFEA7" w:rsidP="084FFEA7" w:rsidRDefault="084FFEA7" w14:paraId="3697CC79" w14:textId="7D4F9B1D">
            <w:pPr>
              <w:pStyle w:val="Normal"/>
              <w:spacing w:line="259" w:lineRule="auto"/>
              <w:rPr>
                <w:rFonts w:ascii="Calibri" w:hAnsi="Calibri" w:eastAsia="Calibri" w:cs="Calibri"/>
                <w:b w:val="1"/>
                <w:bCs w:val="1"/>
                <w:color w:val="000000" w:themeColor="text1" w:themeTint="FF" w:themeShade="FF"/>
                <w:sz w:val="24"/>
                <w:szCs w:val="24"/>
              </w:rPr>
            </w:pPr>
          </w:p>
          <w:p w:rsidR="000BC967" w:rsidP="000BC967" w:rsidRDefault="000BC967" w14:paraId="0461DAA6" w14:textId="4D4C65A7">
            <w:pPr>
              <w:rPr>
                <w:rFonts w:ascii="Times New Roman" w:hAnsi="Times New Roman" w:eastAsia="Times New Roman" w:cs="Times New Roman"/>
                <w:color w:val="000000" w:themeColor="text1"/>
                <w:sz w:val="30"/>
                <w:szCs w:val="30"/>
              </w:rPr>
            </w:pPr>
          </w:p>
          <w:p w:rsidR="000BC967" w:rsidP="6A728EAB" w:rsidRDefault="000BC967" w14:paraId="3FC6A380" w14:textId="22CD6EC0">
            <w:pPr>
              <w:pStyle w:val="Normal"/>
              <w:rPr>
                <w:rFonts w:ascii="Calibri" w:hAnsi="Calibri" w:eastAsia="Calibri" w:cs="Calibri"/>
                <w:color w:val="000000" w:themeColor="text1" w:themeTint="FF" w:themeShade="FF"/>
                <w:sz w:val="24"/>
                <w:szCs w:val="24"/>
              </w:rPr>
            </w:pPr>
          </w:p>
        </w:tc>
      </w:tr>
      <w:tr w:rsidR="000BC967" w:rsidTr="126DA2C8" w14:paraId="4CC62927" w14:textId="77777777">
        <w:trPr>
          <w:trHeight w:val="1600"/>
        </w:trPr>
        <w:tc>
          <w:tcPr>
            <w:tcW w:w="14522"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6A728EAB" w:rsidR="54225693">
              <w:rPr>
                <w:rFonts w:ascii="Times New Roman" w:hAnsi="Times New Roman" w:eastAsia="Times New Roman" w:cs="Times New Roman"/>
                <w:b w:val="1"/>
                <w:bCs w:val="1"/>
                <w:i w:val="1"/>
                <w:iCs w:val="1"/>
                <w:color w:val="000000" w:themeColor="text1" w:themeTint="FF" w:themeShade="FF"/>
                <w:sz w:val="24"/>
                <w:szCs w:val="24"/>
              </w:rPr>
              <w:t>Feel free to attach your PLOs OR MSLOs and CSLOs and indicate which were assessed</w:t>
            </w:r>
          </w:p>
          <w:p w:rsidR="000BC967" w:rsidP="6A728EAB" w:rsidRDefault="000BC967" w14:paraId="0FC040FB" w14:textId="778C2F75">
            <w:pPr>
              <w:pStyle w:val="Normal"/>
              <w:spacing w:line="259" w:lineRule="auto"/>
              <w:rPr>
                <w:rFonts w:ascii="Calibri" w:hAnsi="Calibri" w:eastAsia="Calibri" w:cs="Calibri"/>
                <w:noProof w:val="0"/>
                <w:color w:val="000000" w:themeColor="text1" w:themeTint="FF" w:themeShade="FF"/>
                <w:sz w:val="24"/>
                <w:szCs w:val="24"/>
                <w:lang w:val="en-US"/>
              </w:rPr>
            </w:pPr>
            <w:r w:rsidRPr="6A728EAB" w:rsidR="5D158EDE">
              <w:rPr>
                <w:rFonts w:ascii="Calibri" w:hAnsi="Calibri" w:eastAsia="Calibri" w:cs="Calibri"/>
                <w:noProof w:val="0"/>
                <w:color w:val="000000" w:themeColor="text1" w:themeTint="FF" w:themeShade="FF"/>
                <w:sz w:val="24"/>
                <w:szCs w:val="24"/>
                <w:lang w:val="en-US"/>
              </w:rPr>
              <w:t>Attached are the actual test items that were presented to the students, along with their scores on each item.</w:t>
            </w:r>
          </w:p>
          <w:p w:rsidR="000BC967" w:rsidP="6A728EAB" w:rsidRDefault="000BC967" w14:paraId="0A36CDAB" w14:textId="6E12E506">
            <w:pPr>
              <w:pStyle w:val="Normal"/>
              <w:spacing w:line="259" w:lineRule="auto"/>
              <w:rPr>
                <w:rFonts w:ascii="Calibri" w:hAnsi="Calibri" w:eastAsia="Calibri" w:cs="Calibri"/>
                <w:noProof w:val="0"/>
                <w:color w:val="000000" w:themeColor="text1" w:themeTint="FF" w:themeShade="FF"/>
                <w:sz w:val="24"/>
                <w:szCs w:val="24"/>
                <w:lang w:val="en-US"/>
              </w:rPr>
            </w:pPr>
            <w:hyperlink r:id="Rac3001074c634dfa">
              <w:r w:rsidRPr="6A728EAB" w:rsidR="7EDEF171">
                <w:rPr>
                  <w:rStyle w:val="Hyperlink"/>
                  <w:rFonts w:ascii="Calibri" w:hAnsi="Calibri" w:eastAsia="Calibri" w:cs="Calibri"/>
                  <w:noProof w:val="0"/>
                  <w:sz w:val="24"/>
                  <w:szCs w:val="24"/>
                  <w:lang w:val="en-US"/>
                </w:rPr>
                <w:t>https://centralaz.sharepoint.com/:b:/s/ProgramAssessment/EdSDUwS0H4FMppMGn8IbwNABHsHO4ZPRbHln82dDjyj4dw?e=d3Qd8I</w:t>
              </w:r>
            </w:hyperlink>
          </w:p>
          <w:p w:rsidR="000BC967" w:rsidP="6A728EAB" w:rsidRDefault="000BC967" w14:paraId="7E76BCF5" w14:textId="19A90C60">
            <w:pPr>
              <w:pStyle w:val="Normal"/>
              <w:spacing w:line="259" w:lineRule="auto"/>
              <w:rPr>
                <w:rFonts w:ascii="Calibri" w:hAnsi="Calibri" w:eastAsia="Calibri" w:cs="Calibri"/>
                <w:noProof w:val="0"/>
                <w:sz w:val="24"/>
                <w:szCs w:val="24"/>
                <w:lang w:val="en-US"/>
              </w:rPr>
            </w:pPr>
            <w:hyperlink r:id="Rdc9e821ef7f348d0">
              <w:r w:rsidRPr="6A728EAB" w:rsidR="7EDEF171">
                <w:rPr>
                  <w:rStyle w:val="Hyperlink"/>
                  <w:rFonts w:ascii="Calibri" w:hAnsi="Calibri" w:eastAsia="Calibri" w:cs="Calibri"/>
                  <w:noProof w:val="0"/>
                  <w:sz w:val="24"/>
                  <w:szCs w:val="24"/>
                  <w:lang w:val="en-US"/>
                </w:rPr>
                <w:t>https://centralaz.sharepoint.com/:b:/s/ProgramAssessment/ET5bkXAfg7ZLo_xPmtghHqcBjjj2ipxo3CSK-WBZxO_iRQ?e=7PlvJz</w:t>
              </w:r>
            </w:hyperlink>
          </w:p>
          <w:p w:rsidR="000BC967" w:rsidP="6A728EAB" w:rsidRDefault="000BC967" w14:paraId="441137F5" w14:textId="67467E31">
            <w:pPr>
              <w:pStyle w:val="Normal"/>
              <w:spacing w:line="259" w:lineRule="auto"/>
              <w:rPr>
                <w:rFonts w:ascii="Calibri" w:hAnsi="Calibri" w:eastAsia="Calibri" w:cs="Calibri"/>
                <w:noProof w:val="0"/>
                <w:color w:val="000000" w:themeColor="text1" w:themeTint="FF" w:themeShade="FF"/>
                <w:sz w:val="24"/>
                <w:szCs w:val="24"/>
                <w:lang w:val="en-US"/>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80"/>
      </w:tblGrid>
      <w:tr w:rsidR="549A15A7" w:rsidTr="42D25ADA" w14:paraId="35B8120D">
        <w:tc>
          <w:tcPr>
            <w:tcW w:w="14385" w:type="dxa"/>
            <w:gridSpan w:val="6"/>
            <w:shd w:val="clear" w:color="auto" w:fill="385623" w:themeFill="accent6" w:themeFillShade="80"/>
            <w:tcMar/>
            <w:vAlign w:val="top"/>
          </w:tcPr>
          <w:p w:rsidR="549A15A7" w:rsidP="549A15A7" w:rsidRDefault="549A15A7" w14:paraId="6B57A3CB" w14:textId="71648BCE">
            <w:pPr>
              <w:spacing w:line="259" w:lineRule="auto"/>
              <w:jc w:val="center"/>
              <w:rPr>
                <w:rFonts w:ascii="Calibri" w:hAnsi="Calibri" w:eastAsia="Calibri" w:cs="Calibri"/>
                <w:b w:val="0"/>
                <w:bCs w:val="0"/>
                <w:i w:val="0"/>
                <w:iCs w:val="0"/>
                <w:caps w:val="0"/>
                <w:smallCaps w:val="0"/>
                <w:color w:val="FFFFFF" w:themeColor="background1" w:themeTint="FF" w:themeShade="FF"/>
                <w:sz w:val="44"/>
                <w:szCs w:val="44"/>
                <w:lang w:val="en-US"/>
              </w:rPr>
            </w:pPr>
            <w:r w:rsidRPr="549A15A7" w:rsidR="549A15A7">
              <w:rPr>
                <w:rFonts w:ascii="Calibri" w:hAnsi="Calibri" w:eastAsia="Calibri" w:cs="Calibri"/>
                <w:b w:val="1"/>
                <w:bCs w:val="1"/>
                <w:i w:val="0"/>
                <w:iCs w:val="0"/>
                <w:caps w:val="0"/>
                <w:smallCaps w:val="0"/>
                <w:color w:val="FFFFFF" w:themeColor="background1" w:themeTint="FF" w:themeShade="FF"/>
                <w:sz w:val="44"/>
                <w:szCs w:val="44"/>
                <w:lang w:val="en-US"/>
              </w:rPr>
              <w:t>Feedback Rubric</w:t>
            </w:r>
          </w:p>
        </w:tc>
      </w:tr>
      <w:tr w:rsidR="549A15A7" w:rsidTr="42D25ADA" w14:paraId="04ABF0C7">
        <w:trPr>
          <w:trHeight w:val="450"/>
        </w:trPr>
        <w:tc>
          <w:tcPr>
            <w:tcW w:w="2310" w:type="dxa"/>
            <w:shd w:val="clear" w:color="auto" w:fill="FFC000" w:themeFill="accent4"/>
            <w:tcMar/>
            <w:vAlign w:val="top"/>
          </w:tcPr>
          <w:p w:rsidR="549A15A7" w:rsidP="549A15A7" w:rsidRDefault="549A15A7" w14:paraId="1A12AC3C" w14:textId="56D30149">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49A15A7" w:rsidR="549A15A7">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549A15A7" w:rsidP="549A15A7" w:rsidRDefault="549A15A7" w14:paraId="32E15872" w14:textId="1F4CD15C">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549A15A7" w:rsidP="549A15A7" w:rsidRDefault="549A15A7" w14:paraId="6DDFE3B4" w14:textId="17FF5066">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549A15A7" w:rsidP="549A15A7" w:rsidRDefault="549A15A7" w14:paraId="45820FA0" w14:textId="3E50985B">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40" w:type="dxa"/>
            <w:shd w:val="clear" w:color="auto" w:fill="FFC000" w:themeFill="accent4"/>
            <w:tcMar/>
            <w:vAlign w:val="top"/>
          </w:tcPr>
          <w:p w:rsidR="549A15A7" w:rsidP="549A15A7" w:rsidRDefault="549A15A7" w14:paraId="4F68BA28" w14:textId="487D05D1">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49A15A7" w:rsidR="549A15A7">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480" w:type="dxa"/>
            <w:shd w:val="clear" w:color="auto" w:fill="FFC000" w:themeFill="accent4"/>
            <w:tcMar/>
            <w:vAlign w:val="top"/>
          </w:tcPr>
          <w:p w:rsidR="549A15A7" w:rsidP="549A15A7" w:rsidRDefault="549A15A7" w14:paraId="043532D6" w14:textId="1C2092A9">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49A15A7" w:rsidR="549A15A7">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549A15A7" w:rsidTr="42D25ADA" w14:paraId="53B00BC5">
        <w:tc>
          <w:tcPr>
            <w:tcW w:w="2310" w:type="dxa"/>
            <w:tcMar/>
            <w:vAlign w:val="top"/>
          </w:tcPr>
          <w:p w:rsidR="549A15A7" w:rsidP="549A15A7" w:rsidRDefault="549A15A7" w14:paraId="301E9F80" w14:textId="1B755BD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549A15A7" w:rsidP="549A15A7" w:rsidRDefault="549A15A7" w14:paraId="705DF23E" w14:textId="06BD2D5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549A15A7" w:rsidP="549A15A7" w:rsidRDefault="549A15A7" w14:paraId="49B79FF9" w14:textId="4C485EB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92D050"/>
            <w:tcMar/>
            <w:vAlign w:val="top"/>
          </w:tcPr>
          <w:p w:rsidR="549A15A7" w:rsidP="549A15A7" w:rsidRDefault="549A15A7" w14:paraId="1CBC3DA9" w14:textId="727E894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40" w:type="dxa"/>
            <w:tcMar/>
            <w:vAlign w:val="top"/>
          </w:tcPr>
          <w:p w:rsidR="549A15A7" w:rsidP="42D25ADA" w:rsidRDefault="549A15A7" w14:paraId="146C2331" w14:textId="245A755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2D25ADA" w:rsidR="39F70E15">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549A15A7" w:rsidP="0A6F6648" w:rsidRDefault="549A15A7" w14:paraId="4D418C9C" w14:textId="2BDCF3A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0A6F6648" w:rsidR="47308151">
              <w:rPr>
                <w:rFonts w:ascii="Calibri" w:hAnsi="Calibri" w:eastAsia="Calibri" w:cs="Calibri"/>
                <w:b w:val="0"/>
                <w:bCs w:val="0"/>
                <w:i w:val="0"/>
                <w:iCs w:val="0"/>
                <w:caps w:val="0"/>
                <w:smallCaps w:val="0"/>
                <w:color w:val="000000" w:themeColor="text1" w:themeTint="FF" w:themeShade="FF"/>
                <w:sz w:val="22"/>
                <w:szCs w:val="22"/>
                <w:lang w:val="en-US"/>
              </w:rPr>
              <w:t xml:space="preserve">Outcomes are clearly identified for the assessment. </w:t>
            </w:r>
          </w:p>
        </w:tc>
      </w:tr>
      <w:tr w:rsidR="549A15A7" w:rsidTr="42D25ADA" w14:paraId="78E6DC60">
        <w:tc>
          <w:tcPr>
            <w:tcW w:w="2310" w:type="dxa"/>
            <w:shd w:val="clear" w:color="auto" w:fill="D9D9D9" w:themeFill="background1" w:themeFillShade="D9"/>
            <w:tcMar/>
            <w:vAlign w:val="top"/>
          </w:tcPr>
          <w:p w:rsidR="549A15A7" w:rsidP="549A15A7" w:rsidRDefault="549A15A7" w14:paraId="16F1BE41" w14:textId="1CF42DD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549A15A7" w:rsidP="549A15A7" w:rsidRDefault="549A15A7" w14:paraId="18B48274" w14:textId="0CF8047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549A15A7" w:rsidP="549A15A7" w:rsidRDefault="549A15A7" w14:paraId="50D0DCC1" w14:textId="09ED556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92D050"/>
            <w:tcMar/>
            <w:vAlign w:val="top"/>
          </w:tcPr>
          <w:p w:rsidR="549A15A7" w:rsidP="549A15A7" w:rsidRDefault="549A15A7" w14:paraId="0B46A380" w14:textId="4B88865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vAlign w:val="top"/>
          </w:tcPr>
          <w:p w:rsidR="549A15A7" w:rsidP="42D25ADA" w:rsidRDefault="549A15A7" w14:paraId="5F77CCAD" w14:textId="769206A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2D25ADA" w:rsidR="39F70E15">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shd w:val="clear" w:color="auto" w:fill="D9D9D9" w:themeFill="background1" w:themeFillShade="D9"/>
            <w:tcMar/>
            <w:vAlign w:val="top"/>
          </w:tcPr>
          <w:p w:rsidR="549A15A7" w:rsidP="549A15A7" w:rsidRDefault="549A15A7" w14:paraId="34B291E0" w14:textId="7614886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549A15A7" w:rsidTr="42D25ADA" w14:paraId="24814F20">
        <w:tc>
          <w:tcPr>
            <w:tcW w:w="2310" w:type="dxa"/>
            <w:tcMar/>
            <w:vAlign w:val="top"/>
          </w:tcPr>
          <w:p w:rsidR="549A15A7" w:rsidP="549A15A7" w:rsidRDefault="549A15A7" w14:paraId="1D5F23C2" w14:textId="376DE8C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549A15A7" w:rsidP="549A15A7" w:rsidRDefault="549A15A7" w14:paraId="19146B52" w14:textId="7F81CDC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vAlign w:val="top"/>
          </w:tcPr>
          <w:p w:rsidR="549A15A7" w:rsidP="549A15A7" w:rsidRDefault="549A15A7" w14:paraId="59D6797E" w14:textId="74C9721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92D050"/>
            <w:tcMar/>
            <w:vAlign w:val="top"/>
          </w:tcPr>
          <w:p w:rsidR="549A15A7" w:rsidP="549A15A7" w:rsidRDefault="549A15A7" w14:paraId="6133F48F" w14:textId="1A2069A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vAlign w:val="top"/>
          </w:tcPr>
          <w:p w:rsidR="549A15A7" w:rsidP="42D25ADA" w:rsidRDefault="549A15A7" w14:paraId="3AF9BC15" w14:textId="34C368F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2D25ADA" w:rsidR="500DC71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549A15A7" w:rsidP="0A6F6648" w:rsidRDefault="549A15A7" w14:paraId="612B61DA" w14:textId="73CC6C0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0A6F6648" w:rsidR="33668E23">
              <w:rPr>
                <w:rFonts w:ascii="Calibri" w:hAnsi="Calibri" w:eastAsia="Calibri" w:cs="Calibri"/>
                <w:b w:val="0"/>
                <w:bCs w:val="0"/>
                <w:i w:val="0"/>
                <w:iCs w:val="0"/>
                <w:caps w:val="0"/>
                <w:smallCaps w:val="0"/>
                <w:color w:val="000000" w:themeColor="text1" w:themeTint="FF" w:themeShade="FF"/>
                <w:sz w:val="22"/>
                <w:szCs w:val="22"/>
                <w:lang w:val="en-US"/>
              </w:rPr>
              <w:t xml:space="preserve">Your data is clear and meaningful. </w:t>
            </w:r>
          </w:p>
        </w:tc>
      </w:tr>
      <w:tr w:rsidR="549A15A7" w:rsidTr="42D25ADA" w14:paraId="3F46EBC6">
        <w:tc>
          <w:tcPr>
            <w:tcW w:w="2310" w:type="dxa"/>
            <w:shd w:val="clear" w:color="auto" w:fill="D9D9D9" w:themeFill="background1" w:themeFillShade="D9"/>
            <w:tcMar/>
            <w:vAlign w:val="top"/>
          </w:tcPr>
          <w:p w:rsidR="549A15A7" w:rsidP="549A15A7" w:rsidRDefault="549A15A7" w14:paraId="5B46B4FE" w14:textId="78E67A7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549A15A7" w:rsidP="549A15A7" w:rsidRDefault="549A15A7" w14:paraId="46A3CBF9" w14:textId="7FFE332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FFFF00"/>
            <w:tcMar/>
            <w:vAlign w:val="top"/>
          </w:tcPr>
          <w:p w:rsidR="549A15A7" w:rsidP="549A15A7" w:rsidRDefault="549A15A7" w14:paraId="1C16DE76" w14:textId="1993C9C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vAlign w:val="top"/>
          </w:tcPr>
          <w:p w:rsidR="549A15A7" w:rsidP="549A15A7" w:rsidRDefault="549A15A7" w14:paraId="24EA073B" w14:textId="3A818837">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vAlign w:val="top"/>
          </w:tcPr>
          <w:p w:rsidR="549A15A7" w:rsidP="42D25ADA" w:rsidRDefault="549A15A7" w14:paraId="2D79E5E0" w14:textId="20CDC9D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2D25ADA" w:rsidR="3C9F0A98">
              <w:rPr>
                <w:rFonts w:ascii="Calibri" w:hAnsi="Calibri" w:eastAsia="Calibri" w:cs="Calibri"/>
                <w:b w:val="0"/>
                <w:bCs w:val="0"/>
                <w:i w:val="0"/>
                <w:iCs w:val="0"/>
                <w:caps w:val="0"/>
                <w:smallCaps w:val="0"/>
                <w:color w:val="000000" w:themeColor="text1" w:themeTint="FF" w:themeShade="FF"/>
                <w:sz w:val="22"/>
                <w:szCs w:val="22"/>
                <w:lang w:val="en-US"/>
              </w:rPr>
              <w:t>2</w:t>
            </w:r>
          </w:p>
        </w:tc>
        <w:tc>
          <w:tcPr>
            <w:tcW w:w="3480" w:type="dxa"/>
            <w:shd w:val="clear" w:color="auto" w:fill="D9D9D9" w:themeFill="background1" w:themeFillShade="D9"/>
            <w:tcMar/>
            <w:vAlign w:val="top"/>
          </w:tcPr>
          <w:p w:rsidR="549A15A7" w:rsidP="0A6F6648" w:rsidRDefault="549A15A7" w14:paraId="068972C1" w14:textId="1E79ACF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0A6F6648" w:rsidR="43F61992">
              <w:rPr>
                <w:rFonts w:ascii="Calibri" w:hAnsi="Calibri" w:eastAsia="Calibri" w:cs="Calibri"/>
                <w:b w:val="0"/>
                <w:bCs w:val="0"/>
                <w:i w:val="0"/>
                <w:iCs w:val="0"/>
                <w:caps w:val="0"/>
                <w:smallCaps w:val="0"/>
                <w:color w:val="000000" w:themeColor="text1" w:themeTint="FF" w:themeShade="FF"/>
                <w:sz w:val="22"/>
                <w:szCs w:val="22"/>
                <w:lang w:val="en-US"/>
              </w:rPr>
              <w:t xml:space="preserve">Looking for a qualitative analysis of the test and how you plan to make adjustments for next semester.   </w:t>
            </w:r>
          </w:p>
        </w:tc>
      </w:tr>
      <w:tr w:rsidR="549A15A7" w:rsidTr="42D25ADA" w14:paraId="4614A2BC">
        <w:tc>
          <w:tcPr>
            <w:tcW w:w="2310" w:type="dxa"/>
            <w:tcMar/>
            <w:vAlign w:val="top"/>
          </w:tcPr>
          <w:p w:rsidR="549A15A7" w:rsidP="549A15A7" w:rsidRDefault="549A15A7" w14:paraId="392B3A18" w14:textId="7E9EE0A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549A15A7" w:rsidP="549A15A7" w:rsidRDefault="549A15A7" w14:paraId="6DAD727C" w14:textId="34C89B1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shd w:val="clear" w:color="auto" w:fill="FFFF00"/>
            <w:tcMar/>
            <w:vAlign w:val="top"/>
          </w:tcPr>
          <w:p w:rsidR="549A15A7" w:rsidP="549A15A7" w:rsidRDefault="549A15A7" w14:paraId="2DECEB18" w14:textId="62A9360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vAlign w:val="top"/>
          </w:tcPr>
          <w:p w:rsidR="549A15A7" w:rsidP="549A15A7" w:rsidRDefault="549A15A7" w14:paraId="62762CA4" w14:textId="6DC0738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549A15A7" w:rsidR="549A15A7">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vAlign w:val="top"/>
          </w:tcPr>
          <w:p w:rsidR="549A15A7" w:rsidP="42D25ADA" w:rsidRDefault="549A15A7" w14:paraId="11399EEB" w14:textId="19356F96">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2D25ADA" w:rsidR="3C9F0A98">
              <w:rPr>
                <w:rFonts w:ascii="Calibri" w:hAnsi="Calibri" w:eastAsia="Calibri" w:cs="Calibri"/>
                <w:b w:val="0"/>
                <w:bCs w:val="0"/>
                <w:i w:val="0"/>
                <w:iCs w:val="0"/>
                <w:caps w:val="0"/>
                <w:smallCaps w:val="0"/>
                <w:color w:val="000000" w:themeColor="text1" w:themeTint="FF" w:themeShade="FF"/>
                <w:sz w:val="22"/>
                <w:szCs w:val="22"/>
                <w:lang w:val="en-US"/>
              </w:rPr>
              <w:t>2</w:t>
            </w:r>
          </w:p>
        </w:tc>
        <w:tc>
          <w:tcPr>
            <w:tcW w:w="3480" w:type="dxa"/>
            <w:tcMar/>
            <w:vAlign w:val="top"/>
          </w:tcPr>
          <w:p w:rsidR="549A15A7" w:rsidP="0A6F6648" w:rsidRDefault="549A15A7" w14:paraId="09268BC9" w14:textId="54E5DFE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0A6F6648" w:rsidR="7427095E">
              <w:rPr>
                <w:rFonts w:ascii="Calibri" w:hAnsi="Calibri" w:eastAsia="Calibri" w:cs="Calibri"/>
                <w:b w:val="0"/>
                <w:bCs w:val="0"/>
                <w:i w:val="0"/>
                <w:iCs w:val="0"/>
                <w:caps w:val="0"/>
                <w:smallCaps w:val="0"/>
                <w:color w:val="000000" w:themeColor="text1" w:themeTint="FF" w:themeShade="FF"/>
                <w:sz w:val="22"/>
                <w:szCs w:val="22"/>
                <w:lang w:val="en-US"/>
              </w:rPr>
              <w:t>Part of this process is giving you the opportunity to look critically at your assessment</w:t>
            </w:r>
            <w:r w:rsidRPr="0A6F6648" w:rsidR="37BB5806">
              <w:rPr>
                <w:rFonts w:ascii="Calibri" w:hAnsi="Calibri" w:eastAsia="Calibri" w:cs="Calibri"/>
                <w:b w:val="0"/>
                <w:bCs w:val="0"/>
                <w:i w:val="0"/>
                <w:iCs w:val="0"/>
                <w:caps w:val="0"/>
                <w:smallCaps w:val="0"/>
                <w:color w:val="000000" w:themeColor="text1" w:themeTint="FF" w:themeShade="FF"/>
                <w:sz w:val="22"/>
                <w:szCs w:val="22"/>
                <w:lang w:val="en-US"/>
              </w:rPr>
              <w:t xml:space="preserve"> and identify ways to improve. </w:t>
            </w:r>
          </w:p>
        </w:tc>
      </w:tr>
      <w:tr w:rsidR="549A15A7" w:rsidTr="42D25ADA" w14:paraId="02784DF7">
        <w:trPr>
          <w:trHeight w:val="3165"/>
        </w:trPr>
        <w:tc>
          <w:tcPr>
            <w:tcW w:w="14385" w:type="dxa"/>
            <w:gridSpan w:val="6"/>
            <w:shd w:val="clear" w:color="auto" w:fill="D9D9D9" w:themeFill="background1" w:themeFillShade="D9"/>
            <w:tcMar/>
            <w:vAlign w:val="top"/>
          </w:tcPr>
          <w:p w:rsidR="549A15A7" w:rsidP="549A15A7" w:rsidRDefault="549A15A7" w14:paraId="0FE5A8C2" w14:textId="5A19D1C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49A15A7" w:rsidR="549A15A7">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549A15A7" w:rsidP="549A15A7" w:rsidRDefault="549A15A7" w14:paraId="3D34B1B2" w14:textId="58BC7033">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549A15A7" w:rsidP="0A6F6648" w:rsidRDefault="549A15A7" w14:paraId="48079550" w14:textId="06C4E236">
            <w:pPr>
              <w:pStyle w:val="Normal"/>
              <w:bidi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0A6F6648" w:rsidR="4380208A">
              <w:rPr>
                <w:rFonts w:ascii="Calibri" w:hAnsi="Calibri" w:eastAsia="Calibri" w:cs="Calibri"/>
                <w:b w:val="0"/>
                <w:bCs w:val="0"/>
                <w:i w:val="0"/>
                <w:iCs w:val="0"/>
                <w:caps w:val="0"/>
                <w:smallCaps w:val="0"/>
                <w:color w:val="000000" w:themeColor="text1" w:themeTint="FF" w:themeShade="FF"/>
                <w:sz w:val="22"/>
                <w:szCs w:val="22"/>
                <w:lang w:val="en-US"/>
              </w:rPr>
              <w:t>I would like to see where you see a potential weakness or a necessary shift that will improve student learning outcomes. This could be finding a question that needs better wording</w:t>
            </w:r>
            <w:r w:rsidRPr="0A6F6648" w:rsidR="1A410200">
              <w:rPr>
                <w:rFonts w:ascii="Calibri" w:hAnsi="Calibri" w:eastAsia="Calibri" w:cs="Calibri"/>
                <w:b w:val="0"/>
                <w:bCs w:val="0"/>
                <w:i w:val="0"/>
                <w:iCs w:val="0"/>
                <w:caps w:val="0"/>
                <w:smallCaps w:val="0"/>
                <w:color w:val="000000" w:themeColor="text1" w:themeTint="FF" w:themeShade="FF"/>
                <w:sz w:val="22"/>
                <w:szCs w:val="22"/>
                <w:lang w:val="en-US"/>
              </w:rPr>
              <w:t xml:space="preserve"> or</w:t>
            </w:r>
            <w:r w:rsidRPr="0A6F6648" w:rsidR="4380208A">
              <w:rPr>
                <w:rFonts w:ascii="Calibri" w:hAnsi="Calibri" w:eastAsia="Calibri" w:cs="Calibri"/>
                <w:b w:val="0"/>
                <w:bCs w:val="0"/>
                <w:i w:val="0"/>
                <w:iCs w:val="0"/>
                <w:caps w:val="0"/>
                <w:smallCaps w:val="0"/>
                <w:color w:val="000000" w:themeColor="text1" w:themeTint="FF" w:themeShade="FF"/>
                <w:sz w:val="22"/>
                <w:szCs w:val="22"/>
                <w:lang w:val="en-US"/>
              </w:rPr>
              <w:t xml:space="preserve">r identifying a learning outcome that </w:t>
            </w:r>
            <w:r w:rsidRPr="0A6F6648" w:rsidR="642DADF1">
              <w:rPr>
                <w:rFonts w:ascii="Calibri" w:hAnsi="Calibri" w:eastAsia="Calibri" w:cs="Calibri"/>
                <w:b w:val="0"/>
                <w:bCs w:val="0"/>
                <w:i w:val="0"/>
                <w:iCs w:val="0"/>
                <w:caps w:val="0"/>
                <w:smallCaps w:val="0"/>
                <w:color w:val="000000" w:themeColor="text1" w:themeTint="FF" w:themeShade="FF"/>
                <w:sz w:val="22"/>
                <w:szCs w:val="22"/>
                <w:lang w:val="en-US"/>
              </w:rPr>
              <w:t xml:space="preserve">should be taught a different way to improve understanding.  Please reflect on and update question 11.  It will give you the path for how you </w:t>
            </w:r>
            <w:r w:rsidRPr="0A6F6648" w:rsidR="58E5E731">
              <w:rPr>
                <w:rFonts w:ascii="Calibri" w:hAnsi="Calibri" w:eastAsia="Calibri" w:cs="Calibri"/>
                <w:b w:val="0"/>
                <w:bCs w:val="0"/>
                <w:i w:val="0"/>
                <w:iCs w:val="0"/>
                <w:caps w:val="0"/>
                <w:smallCaps w:val="0"/>
                <w:color w:val="000000" w:themeColor="text1" w:themeTint="FF" w:themeShade="FF"/>
                <w:sz w:val="22"/>
                <w:szCs w:val="22"/>
                <w:lang w:val="en-US"/>
              </w:rPr>
              <w:t>interpret</w:t>
            </w:r>
            <w:r w:rsidRPr="0A6F6648" w:rsidR="642DADF1">
              <w:rPr>
                <w:rFonts w:ascii="Calibri" w:hAnsi="Calibri" w:eastAsia="Calibri" w:cs="Calibri"/>
                <w:b w:val="0"/>
                <w:bCs w:val="0"/>
                <w:i w:val="0"/>
                <w:iCs w:val="0"/>
                <w:caps w:val="0"/>
                <w:smallCaps w:val="0"/>
                <w:color w:val="000000" w:themeColor="text1" w:themeTint="FF" w:themeShade="FF"/>
                <w:sz w:val="22"/>
                <w:szCs w:val="22"/>
                <w:lang w:val="en-US"/>
              </w:rPr>
              <w:t xml:space="preserve"> data for phase 2 of the reportin</w:t>
            </w:r>
            <w:r w:rsidRPr="0A6F6648" w:rsidR="74E51E1D">
              <w:rPr>
                <w:rFonts w:ascii="Calibri" w:hAnsi="Calibri" w:eastAsia="Calibri" w:cs="Calibri"/>
                <w:b w:val="0"/>
                <w:bCs w:val="0"/>
                <w:i w:val="0"/>
                <w:iCs w:val="0"/>
                <w:caps w:val="0"/>
                <w:smallCaps w:val="0"/>
                <w:color w:val="000000" w:themeColor="text1" w:themeTint="FF" w:themeShade="FF"/>
                <w:sz w:val="22"/>
                <w:szCs w:val="22"/>
                <w:lang w:val="en-US"/>
              </w:rPr>
              <w:t xml:space="preserve">g. </w:t>
            </w:r>
            <w:r w:rsidRPr="0A6F6648" w:rsidR="6FDF5C2E">
              <w:rPr>
                <w:rFonts w:ascii="Calibri" w:hAnsi="Calibri" w:eastAsia="Calibri" w:cs="Calibri"/>
                <w:b w:val="0"/>
                <w:bCs w:val="0"/>
                <w:i w:val="0"/>
                <w:iCs w:val="0"/>
                <w:caps w:val="0"/>
                <w:smallCaps w:val="0"/>
                <w:color w:val="000000" w:themeColor="text1" w:themeTint="FF" w:themeShade="FF"/>
                <w:sz w:val="22"/>
                <w:szCs w:val="22"/>
                <w:lang w:val="en-US"/>
              </w:rPr>
              <w:t xml:space="preserve">Phase 2 </w:t>
            </w:r>
            <w:r w:rsidRPr="0A6F6648" w:rsidR="74E51E1D">
              <w:rPr>
                <w:rFonts w:ascii="Calibri" w:hAnsi="Calibri" w:eastAsia="Calibri" w:cs="Calibri"/>
                <w:b w:val="0"/>
                <w:bCs w:val="0"/>
                <w:i w:val="0"/>
                <w:iCs w:val="0"/>
                <w:caps w:val="0"/>
                <w:smallCaps w:val="0"/>
                <w:color w:val="000000" w:themeColor="text1" w:themeTint="FF" w:themeShade="FF"/>
                <w:sz w:val="22"/>
                <w:szCs w:val="22"/>
                <w:lang w:val="en-US"/>
              </w:rPr>
              <w:t xml:space="preserve">is essentially a repeat of what you did this semester, but with a change that you made based </w:t>
            </w:r>
            <w:proofErr w:type="gramStart"/>
            <w:r w:rsidRPr="0A6F6648" w:rsidR="74E51E1D">
              <w:rPr>
                <w:rFonts w:ascii="Calibri" w:hAnsi="Calibri" w:eastAsia="Calibri" w:cs="Calibri"/>
                <w:b w:val="0"/>
                <w:bCs w:val="0"/>
                <w:i w:val="0"/>
                <w:iCs w:val="0"/>
                <w:caps w:val="0"/>
                <w:smallCaps w:val="0"/>
                <w:color w:val="000000" w:themeColor="text1" w:themeTint="FF" w:themeShade="FF"/>
                <w:sz w:val="22"/>
                <w:szCs w:val="22"/>
                <w:lang w:val="en-US"/>
              </w:rPr>
              <w:t>off of</w:t>
            </w:r>
            <w:proofErr w:type="gramEnd"/>
            <w:r w:rsidRPr="0A6F6648" w:rsidR="74E51E1D">
              <w:rPr>
                <w:rFonts w:ascii="Calibri" w:hAnsi="Calibri" w:eastAsia="Calibri" w:cs="Calibri"/>
                <w:b w:val="0"/>
                <w:bCs w:val="0"/>
                <w:i w:val="0"/>
                <w:iCs w:val="0"/>
                <w:caps w:val="0"/>
                <w:smallCaps w:val="0"/>
                <w:color w:val="000000" w:themeColor="text1" w:themeTint="FF" w:themeShade="FF"/>
                <w:sz w:val="22"/>
                <w:szCs w:val="22"/>
                <w:lang w:val="en-US"/>
              </w:rPr>
              <w:t xml:space="preserve"> identifying a need in your initial results. </w:t>
            </w:r>
          </w:p>
          <w:p w:rsidR="549A15A7" w:rsidP="549A15A7" w:rsidRDefault="549A15A7" w14:paraId="62FCF4AE" w14:textId="15823B5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549A15A7" w:rsidP="549A15A7" w:rsidRDefault="549A15A7" w14:paraId="2A90C63A" w14:textId="6FA90E58">
      <w:pPr>
        <w:pStyle w:val="Normal"/>
      </w:pPr>
    </w:p>
    <w:p w:rsidR="6D245F9A" w:rsidP="6D245F9A" w:rsidRDefault="6D245F9A" w14:paraId="16A1F1CF" w14:textId="018433D8">
      <w:pPr>
        <w:pStyle w:val="Normal"/>
      </w:pPr>
    </w:p>
    <w:p w:rsidR="6D245F9A" w:rsidP="6D245F9A" w:rsidRDefault="6D245F9A" w14:paraId="57C26FAC" w14:textId="2608A852">
      <w:pPr>
        <w:pStyle w:val="Normal"/>
      </w:pPr>
    </w:p>
    <w:p w:rsidR="6D245F9A" w:rsidP="6D245F9A" w:rsidRDefault="6D245F9A" w14:paraId="794908FF" w14:textId="31F54BA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D245F9A" w:rsidP="6D245F9A" w:rsidRDefault="6D245F9A" w14:paraId="61C1C8C5" w14:textId="74DEBA2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D245F9A" w:rsidP="6D245F9A" w:rsidRDefault="6D245F9A" w14:paraId="1586A261" w14:textId="49F278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D1AC44" w:rsidP="6D245F9A" w:rsidRDefault="63D1AC44" w14:paraId="2A3F1585" w14:textId="309DDF2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3D1AC44">
        <w:drawing>
          <wp:inline wp14:editId="7C91311D" wp14:anchorId="748417C6">
            <wp:extent cx="9134476" cy="942975"/>
            <wp:effectExtent l="0" t="0" r="0" b="0"/>
            <wp:docPr id="1754327904" name="" title=""/>
            <wp:cNvGraphicFramePr>
              <a:graphicFrameLocks noChangeAspect="1"/>
            </wp:cNvGraphicFramePr>
            <a:graphic>
              <a:graphicData uri="http://schemas.openxmlformats.org/drawingml/2006/picture">
                <pic:pic>
                  <pic:nvPicPr>
                    <pic:cNvPr id="0" name=""/>
                    <pic:cNvPicPr/>
                  </pic:nvPicPr>
                  <pic:blipFill>
                    <a:blip r:embed="Rfb3a82c34beb430c">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6D245F9A" w:rsidTr="42D25ADA" w14:paraId="71BC162F">
        <w:tc>
          <w:tcPr>
            <w:tcW w:w="14400" w:type="dxa"/>
            <w:shd w:val="clear" w:color="auto" w:fill="FFC000" w:themeFill="accent4"/>
            <w:tcMar/>
            <w:vAlign w:val="top"/>
          </w:tcPr>
          <w:p w:rsidR="6D245F9A" w:rsidP="0CAF2854" w:rsidRDefault="6D245F9A" w14:paraId="3170F433" w14:textId="081B2B4F">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0CAF2854" w:rsidR="4EA6DFD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0CAF2854" w:rsidR="6D245F9A">
              <w:rPr>
                <w:rFonts w:ascii="Times New Roman" w:hAnsi="Times New Roman" w:eastAsia="Times New Roman" w:cs="Times New Roman"/>
                <w:b w:val="1"/>
                <w:bCs w:val="1"/>
                <w:i w:val="0"/>
                <w:iCs w:val="0"/>
                <w:color w:val="000000" w:themeColor="text1" w:themeTint="FF" w:themeShade="FF"/>
                <w:sz w:val="30"/>
                <w:szCs w:val="30"/>
                <w:lang w:val="en-US"/>
              </w:rPr>
              <w:t xml:space="preserve"> May </w:t>
            </w:r>
            <w:r w:rsidRPr="0CAF2854" w:rsidR="418941B1">
              <w:rPr>
                <w:rFonts w:ascii="Times New Roman" w:hAnsi="Times New Roman" w:eastAsia="Times New Roman" w:cs="Times New Roman"/>
                <w:b w:val="1"/>
                <w:bCs w:val="1"/>
                <w:i w:val="0"/>
                <w:iCs w:val="0"/>
                <w:color w:val="000000" w:themeColor="text1" w:themeTint="FF" w:themeShade="FF"/>
                <w:sz w:val="30"/>
                <w:szCs w:val="30"/>
                <w:lang w:val="en-US"/>
              </w:rPr>
              <w:t>18</w:t>
            </w:r>
            <w:r w:rsidRPr="0CAF2854" w:rsidR="6D245F9A">
              <w:rPr>
                <w:rFonts w:ascii="Times New Roman" w:hAnsi="Times New Roman" w:eastAsia="Times New Roman" w:cs="Times New Roman"/>
                <w:b w:val="1"/>
                <w:bCs w:val="1"/>
                <w:i w:val="0"/>
                <w:iCs w:val="0"/>
                <w:color w:val="000000" w:themeColor="text1" w:themeTint="FF" w:themeShade="FF"/>
                <w:sz w:val="30"/>
                <w:szCs w:val="30"/>
                <w:vertAlign w:val="superscript"/>
                <w:lang w:val="en-US"/>
              </w:rPr>
              <w:t>th</w:t>
            </w:r>
            <w:r w:rsidRPr="0CAF2854" w:rsidR="6D245F9A">
              <w:rPr>
                <w:rFonts w:ascii="Times New Roman" w:hAnsi="Times New Roman" w:eastAsia="Times New Roman" w:cs="Times New Roman"/>
                <w:b w:val="1"/>
                <w:bCs w:val="1"/>
                <w:i w:val="0"/>
                <w:iCs w:val="0"/>
                <w:color w:val="000000" w:themeColor="text1" w:themeTint="FF" w:themeShade="FF"/>
                <w:sz w:val="30"/>
                <w:szCs w:val="30"/>
                <w:lang w:val="en-US"/>
              </w:rPr>
              <w:t>, 202</w:t>
            </w:r>
            <w:r w:rsidRPr="0CAF2854" w:rsidR="36C7BFA1">
              <w:rPr>
                <w:rFonts w:ascii="Times New Roman" w:hAnsi="Times New Roman" w:eastAsia="Times New Roman" w:cs="Times New Roman"/>
                <w:b w:val="1"/>
                <w:bCs w:val="1"/>
                <w:i w:val="0"/>
                <w:iCs w:val="0"/>
                <w:color w:val="000000" w:themeColor="text1" w:themeTint="FF" w:themeShade="FF"/>
                <w:sz w:val="30"/>
                <w:szCs w:val="30"/>
                <w:lang w:val="en-US"/>
              </w:rPr>
              <w:t>3</w:t>
            </w:r>
          </w:p>
        </w:tc>
      </w:tr>
      <w:tr w:rsidR="6D245F9A" w:rsidTr="42D25ADA" w14:paraId="43CA2906">
        <w:trPr>
          <w:trHeight w:val="435"/>
        </w:trPr>
        <w:tc>
          <w:tcPr>
            <w:tcW w:w="14400" w:type="dxa"/>
            <w:tcMar/>
            <w:vAlign w:val="top"/>
          </w:tcPr>
          <w:p w:rsidR="6D245F9A" w:rsidP="6D245F9A" w:rsidRDefault="6D245F9A" w14:paraId="78A16D2F" w14:textId="10637C21">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1. Program name or course name and number</w:t>
            </w:r>
            <w:r w:rsidRPr="42D25ADA" w:rsidR="6D245F9A">
              <w:rPr>
                <w:rFonts w:ascii="Calibri" w:hAnsi="Calibri" w:eastAsia="Calibri" w:cs="Calibri"/>
                <w:b w:val="0"/>
                <w:bCs w:val="0"/>
                <w:i w:val="0"/>
                <w:iCs w:val="0"/>
                <w:color w:val="000000" w:themeColor="text1" w:themeTint="FF" w:themeShade="FF"/>
                <w:sz w:val="24"/>
                <w:szCs w:val="24"/>
                <w:lang w:val="en-US"/>
              </w:rPr>
              <w:t xml:space="preserve">: </w:t>
            </w:r>
          </w:p>
          <w:p w:rsidR="6D245F9A" w:rsidP="42D25ADA" w:rsidRDefault="6D245F9A" w14:paraId="73F2B780" w14:textId="29D8F67F">
            <w:pPr>
              <w:pStyle w:val="Normal"/>
              <w:spacing w:line="259" w:lineRule="auto"/>
              <w:rPr>
                <w:rFonts w:ascii="Calibri" w:hAnsi="Calibri" w:eastAsia="Calibri" w:cs="Calibri"/>
                <w:noProof w:val="0"/>
                <w:sz w:val="24"/>
                <w:szCs w:val="24"/>
                <w:lang w:val="en-US"/>
              </w:rPr>
            </w:pPr>
            <w:r w:rsidRPr="42D25ADA" w:rsidR="7B4435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Administration of Justice Studies: AJS 260 Procedural Law</w:t>
            </w:r>
          </w:p>
        </w:tc>
      </w:tr>
      <w:tr w:rsidR="6D245F9A" w:rsidTr="42D25ADA" w14:paraId="42FACCE1">
        <w:trPr>
          <w:trHeight w:val="390"/>
        </w:trPr>
        <w:tc>
          <w:tcPr>
            <w:tcW w:w="14400" w:type="dxa"/>
            <w:tcMar/>
            <w:vAlign w:val="top"/>
          </w:tcPr>
          <w:p w:rsidR="6D245F9A" w:rsidP="6D245F9A" w:rsidRDefault="6D245F9A" w14:paraId="6CFFB2C1" w14:textId="1EF747E6">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0B791AD4" w14:textId="6125171F">
            <w:pPr>
              <w:pStyle w:val="Normal"/>
              <w:spacing w:line="259" w:lineRule="auto"/>
              <w:rPr>
                <w:rFonts w:ascii="Calibri" w:hAnsi="Calibri" w:eastAsia="Calibri" w:cs="Calibri"/>
                <w:noProof w:val="0"/>
                <w:sz w:val="24"/>
                <w:szCs w:val="24"/>
                <w:lang w:val="en-US"/>
              </w:rPr>
            </w:pPr>
            <w:r w:rsidRPr="42D25ADA" w:rsidR="230099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Social and Behavioral Sciences</w:t>
            </w:r>
          </w:p>
        </w:tc>
      </w:tr>
      <w:tr w:rsidR="6D245F9A" w:rsidTr="42D25ADA" w14:paraId="48B2CD93">
        <w:trPr>
          <w:trHeight w:val="390"/>
        </w:trPr>
        <w:tc>
          <w:tcPr>
            <w:tcW w:w="14400" w:type="dxa"/>
            <w:tcMar/>
            <w:vAlign w:val="top"/>
          </w:tcPr>
          <w:p w:rsidR="6D245F9A" w:rsidP="6D245F9A" w:rsidRDefault="6D245F9A" w14:paraId="53BECC9F" w14:textId="62B8E9D2">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3. Date form completed</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087482DC" w14:textId="006EC0C7">
            <w:pPr>
              <w:pStyle w:val="Normal"/>
              <w:spacing w:line="259" w:lineRule="auto"/>
              <w:rPr>
                <w:rFonts w:ascii="Calibri" w:hAnsi="Calibri" w:eastAsia="Calibri" w:cs="Calibri"/>
                <w:noProof w:val="0"/>
                <w:sz w:val="24"/>
                <w:szCs w:val="24"/>
                <w:lang w:val="en-US"/>
              </w:rPr>
            </w:pPr>
            <w:r w:rsidRPr="42D25ADA" w:rsidR="6DD50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November 28, 2022</w:t>
            </w:r>
          </w:p>
        </w:tc>
      </w:tr>
      <w:tr w:rsidR="6D245F9A" w:rsidTr="42D25ADA" w14:paraId="78C6CEE5">
        <w:trPr>
          <w:trHeight w:val="390"/>
        </w:trPr>
        <w:tc>
          <w:tcPr>
            <w:tcW w:w="14400" w:type="dxa"/>
            <w:tcMar/>
            <w:vAlign w:val="top"/>
          </w:tcPr>
          <w:p w:rsidR="6D245F9A" w:rsidP="6D245F9A" w:rsidRDefault="6D245F9A" w14:paraId="2DEA1752" w14:textId="4CB9E474">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4. Name of person completing report</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1B654727" w14:textId="2900F0AF">
            <w:pPr>
              <w:pStyle w:val="Normal"/>
              <w:spacing w:line="259" w:lineRule="auto"/>
              <w:rPr>
                <w:rFonts w:ascii="Calibri" w:hAnsi="Calibri" w:eastAsia="Calibri" w:cs="Calibri"/>
                <w:noProof w:val="0"/>
                <w:sz w:val="24"/>
                <w:szCs w:val="24"/>
                <w:lang w:val="en-US"/>
              </w:rPr>
            </w:pPr>
            <w:r w:rsidRPr="42D25ADA" w:rsidR="640602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John Fous</w:t>
            </w:r>
          </w:p>
        </w:tc>
      </w:tr>
      <w:tr w:rsidR="6D245F9A" w:rsidTr="42D25ADA" w14:paraId="1C98B45A">
        <w:trPr>
          <w:trHeight w:val="390"/>
        </w:trPr>
        <w:tc>
          <w:tcPr>
            <w:tcW w:w="14400" w:type="dxa"/>
            <w:tcMar/>
            <w:vAlign w:val="top"/>
          </w:tcPr>
          <w:p w:rsidR="6D245F9A" w:rsidP="6D245F9A" w:rsidRDefault="6D245F9A" w14:paraId="0E75E799" w14:textId="204B3693">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685B7720" w14:textId="6100AA14">
            <w:pPr>
              <w:pStyle w:val="Normal"/>
              <w:spacing w:line="259" w:lineRule="auto"/>
              <w:rPr>
                <w:rFonts w:ascii="Calibri" w:hAnsi="Calibri" w:eastAsia="Calibri" w:cs="Calibri"/>
                <w:noProof w:val="0"/>
                <w:sz w:val="24"/>
                <w:szCs w:val="24"/>
                <w:lang w:val="en-US"/>
              </w:rPr>
            </w:pPr>
            <w:r w:rsidRPr="42D25ADA" w:rsidR="0450E3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Fall 2022</w:t>
            </w:r>
          </w:p>
        </w:tc>
      </w:tr>
      <w:tr w:rsidR="6D245F9A" w:rsidTr="42D25ADA" w14:paraId="261C1E85">
        <w:trPr>
          <w:trHeight w:val="390"/>
        </w:trPr>
        <w:tc>
          <w:tcPr>
            <w:tcW w:w="14400" w:type="dxa"/>
            <w:tcMar/>
            <w:vAlign w:val="top"/>
          </w:tcPr>
          <w:p w:rsidR="6D245F9A" w:rsidP="6D245F9A" w:rsidRDefault="6D245F9A" w14:paraId="4F3FA537" w14:textId="7B078FE8">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6. Number of student participants</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172AF9A1" w14:textId="56AF2230">
            <w:pPr>
              <w:pStyle w:val="Normal"/>
              <w:spacing w:line="259" w:lineRule="auto"/>
              <w:rPr>
                <w:rFonts w:ascii="Calibri" w:hAnsi="Calibri" w:eastAsia="Calibri" w:cs="Calibri"/>
                <w:noProof w:val="0"/>
                <w:sz w:val="24"/>
                <w:szCs w:val="24"/>
                <w:lang w:val="en-US"/>
              </w:rPr>
            </w:pPr>
            <w:r w:rsidRPr="42D25ADA" w:rsidR="1458F5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18</w:t>
            </w:r>
          </w:p>
        </w:tc>
      </w:tr>
      <w:tr w:rsidR="6D245F9A" w:rsidTr="42D25ADA" w14:paraId="4474E8FE">
        <w:trPr>
          <w:trHeight w:val="390"/>
        </w:trPr>
        <w:tc>
          <w:tcPr>
            <w:tcW w:w="14400" w:type="dxa"/>
            <w:tcMar/>
            <w:vAlign w:val="top"/>
          </w:tcPr>
          <w:p w:rsidR="6D245F9A" w:rsidP="6D245F9A" w:rsidRDefault="6D245F9A" w14:paraId="63C1DB73" w14:textId="12F00EB8">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7. Number of faculty/staff participants</w:t>
            </w:r>
            <w:r w:rsidRPr="42D25ADA" w:rsidR="6D245F9A">
              <w:rPr>
                <w:rFonts w:ascii="Calibri" w:hAnsi="Calibri" w:eastAsia="Calibri" w:cs="Calibri"/>
                <w:b w:val="0"/>
                <w:bCs w:val="0"/>
                <w:i w:val="0"/>
                <w:iCs w:val="0"/>
                <w:color w:val="000000" w:themeColor="text1" w:themeTint="FF" w:themeShade="FF"/>
                <w:sz w:val="24"/>
                <w:szCs w:val="24"/>
                <w:lang w:val="en-US"/>
              </w:rPr>
              <w:t>:</w:t>
            </w:r>
          </w:p>
          <w:p w:rsidR="6D245F9A" w:rsidP="42D25ADA" w:rsidRDefault="6D245F9A" w14:paraId="5CC30690" w14:textId="597D8BCC">
            <w:pPr>
              <w:pStyle w:val="Normal"/>
              <w:spacing w:line="259" w:lineRule="auto"/>
              <w:rPr>
                <w:rFonts w:ascii="Calibri" w:hAnsi="Calibri" w:eastAsia="Calibri" w:cs="Calibri"/>
                <w:noProof w:val="0"/>
                <w:sz w:val="24"/>
                <w:szCs w:val="24"/>
                <w:lang w:val="en-US"/>
              </w:rPr>
            </w:pPr>
            <w:r w:rsidRPr="42D25ADA" w:rsidR="2EE8BE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John Foust</w:t>
            </w:r>
          </w:p>
        </w:tc>
      </w:tr>
      <w:tr w:rsidR="6D245F9A" w:rsidTr="42D25ADA" w14:paraId="7D7A843E">
        <w:trPr>
          <w:trHeight w:val="390"/>
        </w:trPr>
        <w:tc>
          <w:tcPr>
            <w:tcW w:w="14400" w:type="dxa"/>
            <w:tcMar/>
            <w:vAlign w:val="top"/>
          </w:tcPr>
          <w:p w:rsidR="6D245F9A" w:rsidP="6D245F9A" w:rsidRDefault="6D245F9A" w14:paraId="687721FA" w14:textId="3666CF8F">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6D245F9A" w:rsidP="42D25ADA" w:rsidRDefault="6D245F9A" w14:paraId="7491C7F7" w14:textId="7F65D275">
            <w:pPr>
              <w:pStyle w:val="Normal"/>
              <w:spacing w:line="259" w:lineRule="auto"/>
              <w:rPr>
                <w:rFonts w:ascii="Calibri" w:hAnsi="Calibri" w:eastAsia="Calibri" w:cs="Calibri"/>
                <w:noProof w:val="0"/>
                <w:sz w:val="24"/>
                <w:szCs w:val="24"/>
                <w:lang w:val="en-US"/>
              </w:rPr>
            </w:pPr>
            <w:r w:rsidRPr="42D25ADA" w:rsidR="1BF17D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MSLO #5: Examine the exclusionary rule and the exceptions to it, and the fruit of the poisonous tree doctrine and the exceptions to it. MSLO #10: Examine plea bargaining and summarize the arguments for and against its use.</w:t>
            </w:r>
          </w:p>
          <w:p w:rsidR="6D245F9A" w:rsidP="6D245F9A" w:rsidRDefault="6D245F9A" w14:paraId="29421383" w14:textId="32FB180B">
            <w:pPr>
              <w:spacing w:line="259" w:lineRule="auto"/>
              <w:rPr>
                <w:rFonts w:ascii="Calibri" w:hAnsi="Calibri" w:eastAsia="Calibri" w:cs="Calibri"/>
                <w:b w:val="0"/>
                <w:bCs w:val="0"/>
                <w:i w:val="0"/>
                <w:iCs w:val="0"/>
                <w:color w:val="000000" w:themeColor="text1" w:themeTint="FF" w:themeShade="FF"/>
                <w:sz w:val="24"/>
                <w:szCs w:val="24"/>
              </w:rPr>
            </w:pPr>
          </w:p>
          <w:p w:rsidR="6D245F9A" w:rsidP="6D245F9A" w:rsidRDefault="6D245F9A" w14:paraId="344ACC68" w14:textId="7F034EED">
            <w:pPr>
              <w:spacing w:line="259" w:lineRule="auto"/>
              <w:jc w:val="center"/>
              <w:rPr>
                <w:rFonts w:ascii="Calibri" w:hAnsi="Calibri" w:eastAsia="Calibri" w:cs="Calibri"/>
                <w:b w:val="0"/>
                <w:bCs w:val="0"/>
                <w:i w:val="0"/>
                <w:iCs w:val="0"/>
                <w:color w:val="000000" w:themeColor="text1" w:themeTint="FF" w:themeShade="FF"/>
                <w:sz w:val="24"/>
                <w:szCs w:val="24"/>
              </w:rPr>
            </w:pPr>
          </w:p>
        </w:tc>
      </w:tr>
      <w:tr w:rsidR="6D245F9A" w:rsidTr="42D25ADA" w14:paraId="27C42A3E">
        <w:trPr>
          <w:trHeight w:val="390"/>
        </w:trPr>
        <w:tc>
          <w:tcPr>
            <w:tcW w:w="14400" w:type="dxa"/>
            <w:tcMar/>
            <w:vAlign w:val="top"/>
          </w:tcPr>
          <w:p w:rsidR="6D245F9A" w:rsidP="6D245F9A" w:rsidRDefault="6D245F9A" w14:paraId="5D071813" w14:textId="044D3505">
            <w:pPr>
              <w:spacing w:line="259" w:lineRule="auto"/>
              <w:rPr>
                <w:rFonts w:ascii="Calibri" w:hAnsi="Calibri" w:eastAsia="Calibri" w:cs="Calibri"/>
                <w:b w:val="0"/>
                <w:bCs w:val="0"/>
                <w:i w:val="0"/>
                <w:iCs w:val="0"/>
                <w:color w:val="000000" w:themeColor="text1" w:themeTint="FF" w:themeShade="FF"/>
                <w:sz w:val="24"/>
                <w:szCs w:val="24"/>
              </w:rPr>
            </w:pPr>
            <w:r w:rsidRPr="42D25ADA" w:rsidR="6D245F9A">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6D245F9A" w:rsidP="42D25ADA" w:rsidRDefault="6D245F9A" w14:paraId="74CC2C27" w14:textId="7FE73631">
            <w:pPr>
              <w:spacing w:before="0" w:beforeAutospacing="off" w:after="0" w:afterAutospacing="off" w:line="259" w:lineRule="auto"/>
            </w:pPr>
            <w:r w:rsidRPr="42D25ADA" w:rsidR="46D3C4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performance is assessed with written exams and quizzes that contain questions in a variety of formats (matching, true-false, multiple,</w:t>
            </w:r>
          </w:p>
          <w:p w:rsidR="6D245F9A" w:rsidP="42D25ADA" w:rsidRDefault="6D245F9A" w14:paraId="3F7C00F0" w14:textId="03272DA3">
            <w:pPr>
              <w:spacing w:before="0" w:beforeAutospacing="off" w:after="0" w:afterAutospacing="off" w:line="259" w:lineRule="auto"/>
            </w:pPr>
            <w:r w:rsidRPr="42D25ADA" w:rsidR="46D3C4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choice, etc.).</w:t>
            </w:r>
          </w:p>
          <w:p w:rsidR="6D245F9A" w:rsidP="42D25ADA" w:rsidRDefault="6D245F9A" w14:paraId="0F312269" w14:textId="1983B8FA">
            <w:pPr>
              <w:pStyle w:val="Normal"/>
              <w:spacing w:line="259" w:lineRule="auto"/>
              <w:rPr>
                <w:rFonts w:ascii="Calibri" w:hAnsi="Calibri" w:eastAsia="Calibri" w:cs="Calibri"/>
                <w:b w:val="0"/>
                <w:bCs w:val="0"/>
                <w:i w:val="0"/>
                <w:iCs w:val="0"/>
                <w:color w:val="000000" w:themeColor="text1" w:themeTint="FF" w:themeShade="FF"/>
                <w:sz w:val="24"/>
                <w:szCs w:val="24"/>
              </w:rPr>
            </w:pPr>
          </w:p>
          <w:p w:rsidR="6D245F9A" w:rsidP="6D245F9A" w:rsidRDefault="6D245F9A" w14:paraId="307A1FEC" w14:textId="1104758E">
            <w:pPr>
              <w:spacing w:line="259" w:lineRule="auto"/>
              <w:rPr>
                <w:rFonts w:ascii="Calibri" w:hAnsi="Calibri" w:eastAsia="Calibri" w:cs="Calibri"/>
                <w:b w:val="0"/>
                <w:bCs w:val="0"/>
                <w:i w:val="0"/>
                <w:iCs w:val="0"/>
                <w:color w:val="000000" w:themeColor="text1" w:themeTint="FF" w:themeShade="FF"/>
                <w:sz w:val="24"/>
                <w:szCs w:val="24"/>
              </w:rPr>
            </w:pPr>
          </w:p>
          <w:p w:rsidR="6D245F9A" w:rsidP="6D245F9A" w:rsidRDefault="6D245F9A" w14:paraId="6FD6813E" w14:textId="751454F0">
            <w:pPr>
              <w:spacing w:line="259" w:lineRule="auto"/>
              <w:rPr>
                <w:rFonts w:ascii="Calibri" w:hAnsi="Calibri" w:eastAsia="Calibri" w:cs="Calibri"/>
                <w:b w:val="0"/>
                <w:bCs w:val="0"/>
                <w:i w:val="0"/>
                <w:iCs w:val="0"/>
                <w:color w:val="000000" w:themeColor="text1" w:themeTint="FF" w:themeShade="FF"/>
                <w:sz w:val="24"/>
                <w:szCs w:val="24"/>
              </w:rPr>
            </w:pPr>
          </w:p>
          <w:p w:rsidR="6D245F9A" w:rsidP="6D245F9A" w:rsidRDefault="6D245F9A" w14:paraId="505A832B" w14:textId="7295C173">
            <w:pPr>
              <w:spacing w:line="259" w:lineRule="auto"/>
              <w:rPr>
                <w:rFonts w:ascii="Calibri" w:hAnsi="Calibri" w:eastAsia="Calibri" w:cs="Calibri"/>
                <w:b w:val="0"/>
                <w:bCs w:val="0"/>
                <w:i w:val="0"/>
                <w:iCs w:val="0"/>
                <w:color w:val="000000" w:themeColor="text1" w:themeTint="FF" w:themeShade="FF"/>
                <w:sz w:val="24"/>
                <w:szCs w:val="24"/>
              </w:rPr>
            </w:pPr>
          </w:p>
        </w:tc>
      </w:tr>
      <w:tr w:rsidR="6D245F9A" w:rsidTr="42D25ADA" w14:paraId="71F1CA56">
        <w:trPr>
          <w:trHeight w:val="1590"/>
        </w:trPr>
        <w:tc>
          <w:tcPr>
            <w:tcW w:w="14400" w:type="dxa"/>
            <w:tcMar/>
            <w:vAlign w:val="top"/>
          </w:tcPr>
          <w:p w:rsidR="6D245F9A" w:rsidP="6D245F9A" w:rsidRDefault="6D245F9A" w14:paraId="64E1143B" w14:textId="00CFD02B">
            <w:pPr>
              <w:spacing w:line="259" w:lineRule="auto"/>
              <w:rPr>
                <w:rFonts w:ascii="Calibri" w:hAnsi="Calibri" w:eastAsia="Calibri" w:cs="Calibri"/>
                <w:b w:val="0"/>
                <w:bCs w:val="0"/>
                <w:i w:val="0"/>
                <w:iCs w:val="0"/>
                <w:color w:val="000000" w:themeColor="text1" w:themeTint="FF" w:themeShade="FF"/>
                <w:sz w:val="24"/>
                <w:szCs w:val="24"/>
              </w:rPr>
            </w:pPr>
            <w:r w:rsidRPr="6D245F9A" w:rsidR="6D245F9A">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6D245F9A" w:rsidP="42D25ADA" w:rsidRDefault="6D245F9A" w14:paraId="10E7DB4D" w14:textId="75B6B622">
            <w:pPr>
              <w:spacing w:line="259" w:lineRule="auto"/>
              <w:rPr>
                <w:rFonts w:ascii="Times New Roman" w:hAnsi="Times New Roman" w:eastAsia="Times New Roman" w:cs="Times New Roman"/>
                <w:b w:val="0"/>
                <w:bCs w:val="0"/>
                <w:i w:val="0"/>
                <w:iCs w:val="0"/>
                <w:color w:val="000000" w:themeColor="text1" w:themeTint="FF" w:themeShade="FF"/>
                <w:sz w:val="30"/>
                <w:szCs w:val="30"/>
              </w:rPr>
            </w:pPr>
            <w:r w:rsidRPr="42D25ADA" w:rsidR="0DDE175C">
              <w:rPr>
                <w:rFonts w:ascii="Times New Roman" w:hAnsi="Times New Roman" w:eastAsia="Times New Roman" w:cs="Times New Roman"/>
                <w:b w:val="0"/>
                <w:bCs w:val="0"/>
                <w:i w:val="0"/>
                <w:iCs w:val="0"/>
                <w:color w:val="000000" w:themeColor="text1" w:themeTint="FF" w:themeShade="FF"/>
                <w:sz w:val="30"/>
                <w:szCs w:val="30"/>
              </w:rPr>
              <w:t>MSLO #5: Examine the exclusionary rule and the exceptions to it, and the fruit of the poisonous tree doctrine and the exceptions to it. 70%</w:t>
            </w:r>
          </w:p>
          <w:p w:rsidR="6D245F9A" w:rsidP="42D25ADA" w:rsidRDefault="6D245F9A" w14:paraId="73DB6CA8" w14:textId="3B4C297F">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correct response or better is considered proficient.</w:t>
            </w:r>
          </w:p>
          <w:p w:rsidR="6D245F9A" w:rsidP="42D25ADA" w:rsidRDefault="6D245F9A" w14:paraId="087164DB" w14:textId="21F8B5A2">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 During the initial assessment students were presented ten test items. The average score of the items was 89.55% correct.</w:t>
            </w:r>
          </w:p>
          <w:p w:rsidR="6D245F9A" w:rsidP="42D25ADA" w:rsidRDefault="6D245F9A" w14:paraId="00B7561A" w14:textId="414AB49C">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 During this assessment students were presented with nine test items. The average score of the items was 89.11% correct.</w:t>
            </w:r>
          </w:p>
          <w:p w:rsidR="6D245F9A" w:rsidP="42D25ADA" w:rsidRDefault="6D245F9A" w14:paraId="7A59A266" w14:textId="3F393DE0">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MSLO #10: Examine plea bargaining and summarize the arguments for and against its use. 70% correct response or better is considered</w:t>
            </w:r>
          </w:p>
          <w:p w:rsidR="6D245F9A" w:rsidP="42D25ADA" w:rsidRDefault="6D245F9A" w14:paraId="418E7542" w14:textId="3674CFDC">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proficient.</w:t>
            </w:r>
          </w:p>
          <w:p w:rsidR="6D245F9A" w:rsidP="42D25ADA" w:rsidRDefault="6D245F9A" w14:paraId="6C06461C" w14:textId="6CC94B99">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 During the initial assessment students were presented 19 test items. The average score of the items was 89.56% correct.</w:t>
            </w:r>
          </w:p>
          <w:p w:rsidR="6D245F9A" w:rsidP="42D25ADA" w:rsidRDefault="6D245F9A" w14:paraId="4945E3D3" w14:textId="293B54E4">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 During this assessment students were presented with 15 test items. The average score of the items was 91.0% correct.</w:t>
            </w:r>
          </w:p>
          <w:p w:rsidR="6D245F9A" w:rsidP="42D25ADA" w:rsidRDefault="6D245F9A" w14:paraId="109D0F1F" w14:textId="490A73E2">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Both on the last assessment and on this follow-up assessment, students are demonstrating that they are proficient with and understand the two</w:t>
            </w:r>
          </w:p>
          <w:p w:rsidR="6D245F9A" w:rsidP="42D25ADA" w:rsidRDefault="6D245F9A" w14:paraId="25A46F62" w14:textId="209438A1">
            <w:pPr>
              <w:pStyle w:val="Normal"/>
              <w:spacing w:line="259" w:lineRule="auto"/>
            </w:pPr>
            <w:r w:rsidRPr="42D25ADA" w:rsidR="0DDE175C">
              <w:rPr>
                <w:rFonts w:ascii="Times New Roman" w:hAnsi="Times New Roman" w:eastAsia="Times New Roman" w:cs="Times New Roman"/>
                <w:b w:val="0"/>
                <w:bCs w:val="0"/>
                <w:i w:val="0"/>
                <w:iCs w:val="0"/>
                <w:color w:val="000000" w:themeColor="text1" w:themeTint="FF" w:themeShade="FF"/>
                <w:sz w:val="30"/>
                <w:szCs w:val="30"/>
              </w:rPr>
              <w:t>MSLOs that were assessed.</w:t>
            </w:r>
          </w:p>
          <w:p w:rsidR="6D245F9A" w:rsidP="42D25ADA" w:rsidRDefault="6D245F9A" w14:paraId="365A1C1D" w14:textId="50A8CFAB">
            <w:pPr>
              <w:pStyle w:val="Normal"/>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D245F9A" w:rsidP="6D245F9A" w:rsidRDefault="6D245F9A" w14:paraId="5D424D6F" w14:textId="663BCB56">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D245F9A" w:rsidP="6D245F9A" w:rsidRDefault="6D245F9A" w14:paraId="58127225" w14:textId="3C6F6599">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6D245F9A" w:rsidTr="42D25ADA" w14:paraId="453D9A26">
        <w:trPr>
          <w:trHeight w:val="1590"/>
        </w:trPr>
        <w:tc>
          <w:tcPr>
            <w:tcW w:w="14400" w:type="dxa"/>
            <w:tcMar/>
            <w:vAlign w:val="top"/>
          </w:tcPr>
          <w:p w:rsidR="6D245F9A" w:rsidP="6D245F9A" w:rsidRDefault="6D245F9A" w14:paraId="625F16FE" w14:textId="33D11032">
            <w:pPr>
              <w:spacing w:line="259" w:lineRule="auto"/>
              <w:jc w:val="left"/>
              <w:rPr>
                <w:rFonts w:ascii="Calibri" w:hAnsi="Calibri" w:eastAsia="Calibri" w:cs="Calibri"/>
                <w:b w:val="0"/>
                <w:bCs w:val="0"/>
                <w:i w:val="0"/>
                <w:iCs w:val="0"/>
                <w:color w:val="000000" w:themeColor="text1" w:themeTint="FF" w:themeShade="FF"/>
                <w:sz w:val="24"/>
                <w:szCs w:val="24"/>
              </w:rPr>
            </w:pPr>
            <w:r w:rsidRPr="6D245F9A" w:rsidR="6D245F9A">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6D245F9A" w:rsidP="6D245F9A" w:rsidRDefault="6D245F9A" w14:paraId="495A4B88" w14:textId="5BB3D06B">
            <w:pPr>
              <w:spacing w:line="259" w:lineRule="auto"/>
              <w:jc w:val="left"/>
              <w:rPr>
                <w:rFonts w:ascii="Calibri" w:hAnsi="Calibri" w:eastAsia="Calibri" w:cs="Calibri"/>
                <w:b w:val="0"/>
                <w:bCs w:val="0"/>
                <w:i w:val="0"/>
                <w:iCs w:val="0"/>
                <w:color w:val="000000" w:themeColor="text1" w:themeTint="FF" w:themeShade="FF"/>
                <w:sz w:val="24"/>
                <w:szCs w:val="24"/>
              </w:rPr>
            </w:pPr>
          </w:p>
          <w:p w:rsidR="6D245F9A" w:rsidP="42D25ADA" w:rsidRDefault="6D245F9A" w14:paraId="3E34116C" w14:textId="63BD5601">
            <w:pPr>
              <w:spacing w:before="0" w:beforeAutospacing="off" w:after="0" w:afterAutospacing="off" w:line="259" w:lineRule="auto"/>
            </w:pPr>
            <w:r w:rsidRPr="42D25ADA" w:rsidR="5610DF44">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No changes are anticipated on MSLO #5. However, on MSLO #10 there were two questions where students scored below 70% on each (scored in</w:t>
            </w:r>
          </w:p>
          <w:p w:rsidR="6D245F9A" w:rsidP="42D25ADA" w:rsidRDefault="6D245F9A" w14:paraId="0CBFDB7D" w14:textId="0C311219">
            <w:pPr>
              <w:spacing w:before="0" w:beforeAutospacing="off" w:after="0" w:afterAutospacing="off" w:line="259" w:lineRule="auto"/>
            </w:pPr>
            <w:r w:rsidRPr="42D25ADA" w:rsidR="5610DF44">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the 60s). These questions need to be rewritten to more clearly represent what is being asked.</w:t>
            </w:r>
          </w:p>
          <w:p w:rsidR="6D245F9A" w:rsidP="42D25ADA" w:rsidRDefault="6D245F9A" w14:paraId="5413E265" w14:textId="2E08BFD5">
            <w:pPr>
              <w:pStyle w:val="Normal"/>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D245F9A" w:rsidP="6D245F9A" w:rsidRDefault="6D245F9A" w14:paraId="464BC913" w14:textId="1133E93B">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D245F9A" w:rsidP="6D245F9A" w:rsidRDefault="6D245F9A" w14:paraId="38A418A0" w14:textId="2E07614F">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D245F9A" w:rsidP="6D245F9A" w:rsidRDefault="6D245F9A" w14:paraId="004590F3" w14:textId="7CFC744B">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6D245F9A" w:rsidTr="42D25ADA" w14:paraId="4DDB60F2">
        <w:trPr>
          <w:trHeight w:val="1590"/>
        </w:trPr>
        <w:tc>
          <w:tcPr>
            <w:tcW w:w="14400" w:type="dxa"/>
            <w:tcMar/>
            <w:vAlign w:val="top"/>
          </w:tcPr>
          <w:p w:rsidR="6D245F9A" w:rsidP="6D245F9A" w:rsidRDefault="6D245F9A" w14:paraId="1E72B8D4" w14:textId="574684B5">
            <w:pPr>
              <w:spacing w:line="259" w:lineRule="auto"/>
              <w:rPr>
                <w:rFonts w:ascii="Calibri" w:hAnsi="Calibri" w:eastAsia="Calibri" w:cs="Calibri"/>
                <w:b w:val="0"/>
                <w:bCs w:val="0"/>
                <w:i w:val="0"/>
                <w:iCs w:val="0"/>
                <w:sz w:val="22"/>
                <w:szCs w:val="22"/>
              </w:rPr>
            </w:pPr>
            <w:r w:rsidRPr="6D245F9A" w:rsidR="6D245F9A">
              <w:rPr>
                <w:rFonts w:ascii="Calibri" w:hAnsi="Calibri" w:eastAsia="Calibri" w:cs="Calibri"/>
                <w:b w:val="1"/>
                <w:bCs w:val="1"/>
                <w:i w:val="0"/>
                <w:iCs w:val="0"/>
                <w:sz w:val="22"/>
                <w:szCs w:val="22"/>
                <w:lang w:val="en-US"/>
              </w:rPr>
              <w:t>Additional Comments or feedback on the Assessment Process (Optional):</w:t>
            </w:r>
          </w:p>
        </w:tc>
      </w:tr>
    </w:tbl>
    <w:p w:rsidR="6D245F9A" w:rsidP="6D245F9A" w:rsidRDefault="6D245F9A" w14:paraId="0ACBFFBD" w14:textId="626CEA9F">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b5962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7dfe3b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90BF6A"/>
    <w:rsid w:val="0189B9CD"/>
    <w:rsid w:val="01E99B7F"/>
    <w:rsid w:val="02DFDA74"/>
    <w:rsid w:val="0450E36F"/>
    <w:rsid w:val="04E8A730"/>
    <w:rsid w:val="067E411F"/>
    <w:rsid w:val="0716BCA1"/>
    <w:rsid w:val="084FFEA7"/>
    <w:rsid w:val="0A6F6648"/>
    <w:rsid w:val="0B301C8F"/>
    <w:rsid w:val="0B4DB1C8"/>
    <w:rsid w:val="0CAF2854"/>
    <w:rsid w:val="0DA7070A"/>
    <w:rsid w:val="0DDE175C"/>
    <w:rsid w:val="0EBB4287"/>
    <w:rsid w:val="0EFB85CE"/>
    <w:rsid w:val="0F1B8BAC"/>
    <w:rsid w:val="10D1D267"/>
    <w:rsid w:val="126DA2C8"/>
    <w:rsid w:val="138CF20D"/>
    <w:rsid w:val="1427A87A"/>
    <w:rsid w:val="1458F5AB"/>
    <w:rsid w:val="155B6666"/>
    <w:rsid w:val="18E9B9B1"/>
    <w:rsid w:val="18FB199D"/>
    <w:rsid w:val="19766530"/>
    <w:rsid w:val="1A410200"/>
    <w:rsid w:val="1AB64154"/>
    <w:rsid w:val="1BE1EC2F"/>
    <w:rsid w:val="1BF17D31"/>
    <w:rsid w:val="1CAE05F2"/>
    <w:rsid w:val="1CD15567"/>
    <w:rsid w:val="1CF92E0B"/>
    <w:rsid w:val="1D06D2AA"/>
    <w:rsid w:val="1DF9CD76"/>
    <w:rsid w:val="1E760A78"/>
    <w:rsid w:val="20FCB91C"/>
    <w:rsid w:val="216D7B41"/>
    <w:rsid w:val="22D3A290"/>
    <w:rsid w:val="23009953"/>
    <w:rsid w:val="238E5920"/>
    <w:rsid w:val="242D9662"/>
    <w:rsid w:val="251CC5CE"/>
    <w:rsid w:val="25D02A3F"/>
    <w:rsid w:val="26156591"/>
    <w:rsid w:val="276BFAA0"/>
    <w:rsid w:val="29BFF927"/>
    <w:rsid w:val="29CBAD68"/>
    <w:rsid w:val="29F036F1"/>
    <w:rsid w:val="2A80E26A"/>
    <w:rsid w:val="2B156A9A"/>
    <w:rsid w:val="2C3F6BC3"/>
    <w:rsid w:val="2C7B59E5"/>
    <w:rsid w:val="2CB13AFB"/>
    <w:rsid w:val="2D202CE4"/>
    <w:rsid w:val="2EE8BE5A"/>
    <w:rsid w:val="2F318F82"/>
    <w:rsid w:val="2F3A94B3"/>
    <w:rsid w:val="2F3FFC01"/>
    <w:rsid w:val="2F684DD3"/>
    <w:rsid w:val="307A70D7"/>
    <w:rsid w:val="3112DCE6"/>
    <w:rsid w:val="31790165"/>
    <w:rsid w:val="32164138"/>
    <w:rsid w:val="333D8D72"/>
    <w:rsid w:val="33668E23"/>
    <w:rsid w:val="3398EA37"/>
    <w:rsid w:val="354DE1FA"/>
    <w:rsid w:val="35A663F0"/>
    <w:rsid w:val="36C7BFA1"/>
    <w:rsid w:val="36CA4211"/>
    <w:rsid w:val="37B545EF"/>
    <w:rsid w:val="37BB5806"/>
    <w:rsid w:val="38E40709"/>
    <w:rsid w:val="39F70E15"/>
    <w:rsid w:val="3ADAE705"/>
    <w:rsid w:val="3C9F0A98"/>
    <w:rsid w:val="3CF5F8E1"/>
    <w:rsid w:val="3D3057CB"/>
    <w:rsid w:val="3D3E743F"/>
    <w:rsid w:val="3E743CB1"/>
    <w:rsid w:val="3F1712B0"/>
    <w:rsid w:val="3F35A49B"/>
    <w:rsid w:val="3FE78B14"/>
    <w:rsid w:val="415036D5"/>
    <w:rsid w:val="418941B1"/>
    <w:rsid w:val="422E81EE"/>
    <w:rsid w:val="427964F8"/>
    <w:rsid w:val="42D25ADA"/>
    <w:rsid w:val="4380208A"/>
    <w:rsid w:val="43F61992"/>
    <w:rsid w:val="45188310"/>
    <w:rsid w:val="46D3C466"/>
    <w:rsid w:val="47308151"/>
    <w:rsid w:val="476723E7"/>
    <w:rsid w:val="47BF7859"/>
    <w:rsid w:val="4859B46D"/>
    <w:rsid w:val="495B48BA"/>
    <w:rsid w:val="49CAE046"/>
    <w:rsid w:val="4CB192C2"/>
    <w:rsid w:val="4D42E470"/>
    <w:rsid w:val="4E2A5AE9"/>
    <w:rsid w:val="4EA6DFDA"/>
    <w:rsid w:val="4EDA55DD"/>
    <w:rsid w:val="4F570236"/>
    <w:rsid w:val="4F70FE79"/>
    <w:rsid w:val="500DC718"/>
    <w:rsid w:val="509B0464"/>
    <w:rsid w:val="51426E03"/>
    <w:rsid w:val="51DC8888"/>
    <w:rsid w:val="52217FA1"/>
    <w:rsid w:val="5291EF35"/>
    <w:rsid w:val="535B96A4"/>
    <w:rsid w:val="53834BB5"/>
    <w:rsid w:val="53ADC700"/>
    <w:rsid w:val="54225693"/>
    <w:rsid w:val="549A15A7"/>
    <w:rsid w:val="5610DF44"/>
    <w:rsid w:val="57FDE3C6"/>
    <w:rsid w:val="581165B4"/>
    <w:rsid w:val="58E5E731"/>
    <w:rsid w:val="5A28BE4D"/>
    <w:rsid w:val="5A2B626C"/>
    <w:rsid w:val="5A88ECF7"/>
    <w:rsid w:val="5BF8D440"/>
    <w:rsid w:val="5D158EDE"/>
    <w:rsid w:val="5E321C1B"/>
    <w:rsid w:val="6080D983"/>
    <w:rsid w:val="61175E53"/>
    <w:rsid w:val="62CE059E"/>
    <w:rsid w:val="6302B4FF"/>
    <w:rsid w:val="633EE596"/>
    <w:rsid w:val="63D1AC44"/>
    <w:rsid w:val="63E3250A"/>
    <w:rsid w:val="6406027A"/>
    <w:rsid w:val="642DADF1"/>
    <w:rsid w:val="64B9A8B2"/>
    <w:rsid w:val="64C4D303"/>
    <w:rsid w:val="64E882A9"/>
    <w:rsid w:val="6605A660"/>
    <w:rsid w:val="66CAE62B"/>
    <w:rsid w:val="691B2B83"/>
    <w:rsid w:val="6971F683"/>
    <w:rsid w:val="6A728EAB"/>
    <w:rsid w:val="6BF38F4E"/>
    <w:rsid w:val="6BFF5176"/>
    <w:rsid w:val="6CE30EB5"/>
    <w:rsid w:val="6CF1E666"/>
    <w:rsid w:val="6D245F9A"/>
    <w:rsid w:val="6D716297"/>
    <w:rsid w:val="6DBA0185"/>
    <w:rsid w:val="6DD502B6"/>
    <w:rsid w:val="6DE238E4"/>
    <w:rsid w:val="6FDF5C2E"/>
    <w:rsid w:val="701DE696"/>
    <w:rsid w:val="7026EFC4"/>
    <w:rsid w:val="70434610"/>
    <w:rsid w:val="70F85D9E"/>
    <w:rsid w:val="71595CFC"/>
    <w:rsid w:val="72333350"/>
    <w:rsid w:val="72752A4F"/>
    <w:rsid w:val="7287D17F"/>
    <w:rsid w:val="7427095E"/>
    <w:rsid w:val="742ED1FD"/>
    <w:rsid w:val="74ADD8FE"/>
    <w:rsid w:val="74E51E1D"/>
    <w:rsid w:val="753A584B"/>
    <w:rsid w:val="763A31C0"/>
    <w:rsid w:val="76E5850F"/>
    <w:rsid w:val="77F05CC2"/>
    <w:rsid w:val="781566E5"/>
    <w:rsid w:val="79031519"/>
    <w:rsid w:val="7997D044"/>
    <w:rsid w:val="7A201169"/>
    <w:rsid w:val="7B33A0A5"/>
    <w:rsid w:val="7B44354F"/>
    <w:rsid w:val="7BCD6E70"/>
    <w:rsid w:val="7BE22A8E"/>
    <w:rsid w:val="7D0AEA3A"/>
    <w:rsid w:val="7D9A55A5"/>
    <w:rsid w:val="7DB37E02"/>
    <w:rsid w:val="7E2EC995"/>
    <w:rsid w:val="7EDEF171"/>
    <w:rsid w:val="7F1D16D9"/>
    <w:rsid w:val="7FFAE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centralaz.sharepoint.com/:b:/s/ProgramAssessment/EdSDUwS0H4FMppMGn8IbwNABHsHO4ZPRbHln82dDjyj4dw?e=d3Qd8I" TargetMode="External" Id="Rac3001074c634dfa" /><Relationship Type="http://schemas.openxmlformats.org/officeDocument/2006/relationships/hyperlink" Target="https://centralaz.sharepoint.com/:b:/s/ProgramAssessment/ET5bkXAfg7ZLo_xPmtghHqcBjjj2ipxo3CSK-WBZxO_iRQ?e=7PlvJz" TargetMode="External" Id="Rdc9e821ef7f348d0" /><Relationship Type="http://schemas.openxmlformats.org/officeDocument/2006/relationships/numbering" Target="numbering.xml" Id="R8c56e72740b644a7" /><Relationship Type="http://schemas.openxmlformats.org/officeDocument/2006/relationships/image" Target="/media/image2.png" Id="Rc7bfcea636934c48" /><Relationship Type="http://schemas.openxmlformats.org/officeDocument/2006/relationships/image" Target="/media/image3.png" Id="Rfb3a82c34beb430c" /><Relationship Type="http://schemas.openxmlformats.org/officeDocument/2006/relationships/image" Target="/media/image4.png" Id="Rcdb22ae39fd649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John Foust1</DisplayName>
        <AccountId>44</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A5737260-E599-4018-BD1E-C6940FB8A14E}"/>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15</cp:revision>
  <dcterms:created xsi:type="dcterms:W3CDTF">2021-10-06T21:32:00Z</dcterms:created>
  <dcterms:modified xsi:type="dcterms:W3CDTF">2023-06-09T18:18:57Z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