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C5EEC" w14:textId="301640AC" w:rsidR="00E07926" w:rsidRDefault="00EB339D" w:rsidP="00E079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 </w:t>
      </w:r>
      <w:r w:rsidR="00E07926" w:rsidRPr="00473821">
        <w:rPr>
          <w:rFonts w:ascii="Times New Roman" w:hAnsi="Times New Roman" w:cs="Times New Roman"/>
          <w:b/>
          <w:sz w:val="24"/>
          <w:szCs w:val="24"/>
        </w:rPr>
        <w:t>ASSESSMENT</w:t>
      </w:r>
      <w:r w:rsidR="00E07926">
        <w:rPr>
          <w:rFonts w:ascii="Times New Roman" w:hAnsi="Times New Roman" w:cs="Times New Roman"/>
          <w:b/>
          <w:sz w:val="24"/>
          <w:szCs w:val="24"/>
        </w:rPr>
        <w:t xml:space="preserve"> REPORTING FORM </w:t>
      </w:r>
    </w:p>
    <w:p w14:paraId="29F2588E" w14:textId="781D7A71" w:rsidR="00E07926" w:rsidRPr="00473821" w:rsidRDefault="00EB339D" w:rsidP="00E079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RDG 100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07926" w:rsidRPr="00473821" w14:paraId="0774D59F" w14:textId="77777777" w:rsidTr="00711DD4">
        <w:tc>
          <w:tcPr>
            <w:tcW w:w="9350" w:type="dxa"/>
          </w:tcPr>
          <w:p w14:paraId="513C0ABD" w14:textId="1FDB883C" w:rsidR="00E07926" w:rsidRPr="00473821" w:rsidRDefault="00E07926" w:rsidP="00630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Program</w:t>
            </w:r>
            <w:r w:rsidR="00E63ACC">
              <w:rPr>
                <w:rFonts w:cstheme="minorHAnsi"/>
                <w:b/>
                <w:sz w:val="24"/>
                <w:szCs w:val="24"/>
              </w:rPr>
              <w:t xml:space="preserve"> or Course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816BD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560F15" w:rsidRPr="00560F15">
              <w:rPr>
                <w:rFonts w:cstheme="minorHAnsi"/>
                <w:bCs/>
                <w:sz w:val="24"/>
                <w:szCs w:val="24"/>
              </w:rPr>
              <w:t>RDG100</w:t>
            </w:r>
          </w:p>
        </w:tc>
      </w:tr>
      <w:tr w:rsidR="00E07926" w:rsidRPr="00473821" w14:paraId="6AA07AFC" w14:textId="77777777" w:rsidTr="00711DD4">
        <w:tc>
          <w:tcPr>
            <w:tcW w:w="9350" w:type="dxa"/>
          </w:tcPr>
          <w:p w14:paraId="2833E9E3" w14:textId="4D8023C9" w:rsidR="00E07926" w:rsidRPr="00473821" w:rsidRDefault="00E07926" w:rsidP="0071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9A">
              <w:rPr>
                <w:rFonts w:cstheme="minorHAnsi"/>
                <w:b/>
                <w:sz w:val="24"/>
                <w:szCs w:val="24"/>
              </w:rPr>
              <w:t>Date</w:t>
            </w:r>
            <w:r w:rsidRPr="00EB339D">
              <w:rPr>
                <w:rFonts w:cstheme="minorHAnsi"/>
                <w:sz w:val="24"/>
                <w:szCs w:val="24"/>
              </w:rPr>
              <w:t>:</w:t>
            </w:r>
            <w:r w:rsidR="00816BDB" w:rsidRPr="00EB339D">
              <w:rPr>
                <w:rFonts w:cstheme="minorHAnsi"/>
                <w:sz w:val="24"/>
                <w:szCs w:val="24"/>
              </w:rPr>
              <w:t xml:space="preserve"> </w:t>
            </w:r>
            <w:r w:rsidR="004A59E9">
              <w:rPr>
                <w:rFonts w:cstheme="minorHAnsi"/>
                <w:sz w:val="24"/>
                <w:szCs w:val="24"/>
              </w:rPr>
              <w:t>4/18</w:t>
            </w:r>
            <w:r w:rsidR="00711DD4" w:rsidRPr="00EB339D">
              <w:rPr>
                <w:rFonts w:cstheme="minorHAnsi"/>
                <w:sz w:val="24"/>
                <w:szCs w:val="24"/>
              </w:rPr>
              <w:t>/2021 –</w:t>
            </w:r>
            <w:r w:rsidR="004A59E9">
              <w:rPr>
                <w:rFonts w:cstheme="minorHAnsi"/>
                <w:sz w:val="24"/>
                <w:szCs w:val="24"/>
              </w:rPr>
              <w:t xml:space="preserve"> 5/09</w:t>
            </w:r>
            <w:r w:rsidR="00711DD4" w:rsidRPr="00EB339D">
              <w:rPr>
                <w:rFonts w:cstheme="minorHAnsi"/>
                <w:sz w:val="24"/>
                <w:szCs w:val="24"/>
              </w:rPr>
              <w:t>/2021</w:t>
            </w:r>
          </w:p>
        </w:tc>
      </w:tr>
      <w:tr w:rsidR="00A9102D" w:rsidRPr="00473821" w14:paraId="3B765141" w14:textId="77777777" w:rsidTr="00711DD4">
        <w:tc>
          <w:tcPr>
            <w:tcW w:w="9350" w:type="dxa"/>
          </w:tcPr>
          <w:p w14:paraId="299B075D" w14:textId="1730CB0C" w:rsidR="00A9102D" w:rsidRPr="00E84D9A" w:rsidRDefault="00A9102D" w:rsidP="0063088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Number of Student Participants:   </w:t>
            </w:r>
            <w:r w:rsidR="00711DD4" w:rsidRPr="00EB339D">
              <w:rPr>
                <w:rFonts w:cstheme="minorHAnsi"/>
                <w:sz w:val="24"/>
                <w:szCs w:val="24"/>
              </w:rPr>
              <w:t>24</w:t>
            </w:r>
            <w:r w:rsidR="00560F15" w:rsidRPr="00560F15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C51883" w:rsidRPr="00473821" w14:paraId="6038E9F6" w14:textId="77777777" w:rsidTr="00711DD4">
        <w:tc>
          <w:tcPr>
            <w:tcW w:w="9350" w:type="dxa"/>
          </w:tcPr>
          <w:p w14:paraId="2E8C878D" w14:textId="16FD5D5C" w:rsidR="00C51883" w:rsidRDefault="00C51883" w:rsidP="0063088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Number of Faculty/Staff Participants: </w:t>
            </w:r>
            <w:r w:rsidR="00711DD4">
              <w:rPr>
                <w:rFonts w:cstheme="minorHAnsi"/>
                <w:bCs/>
                <w:sz w:val="24"/>
                <w:szCs w:val="24"/>
              </w:rPr>
              <w:t xml:space="preserve"> 3</w:t>
            </w:r>
          </w:p>
        </w:tc>
      </w:tr>
      <w:tr w:rsidR="00E07926" w:rsidRPr="00473821" w14:paraId="4336816B" w14:textId="77777777" w:rsidTr="00711DD4">
        <w:tc>
          <w:tcPr>
            <w:tcW w:w="9350" w:type="dxa"/>
          </w:tcPr>
          <w:p w14:paraId="4517F59E" w14:textId="0EFAC35C" w:rsidR="00E07926" w:rsidRPr="00473821" w:rsidRDefault="00E07926" w:rsidP="00630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9A">
              <w:rPr>
                <w:rFonts w:cstheme="minorHAnsi"/>
                <w:b/>
                <w:sz w:val="24"/>
                <w:szCs w:val="24"/>
              </w:rPr>
              <w:t>Name of person completing report:</w:t>
            </w:r>
            <w:r w:rsidR="00816BD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14BB2">
              <w:rPr>
                <w:rFonts w:cstheme="minorHAnsi"/>
                <w:bCs/>
                <w:sz w:val="24"/>
                <w:szCs w:val="24"/>
              </w:rPr>
              <w:t>Mary Kieser</w:t>
            </w:r>
            <w:r w:rsidR="00105DB5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E07926" w:rsidRPr="00473821" w14:paraId="01B5E9B9" w14:textId="77777777" w:rsidTr="00711DD4">
        <w:tc>
          <w:tcPr>
            <w:tcW w:w="9350" w:type="dxa"/>
            <w:shd w:val="clear" w:color="auto" w:fill="FFC000" w:themeFill="accent4"/>
          </w:tcPr>
          <w:p w14:paraId="1D0FC99A" w14:textId="77777777" w:rsidR="00E07926" w:rsidRPr="00E84D9A" w:rsidRDefault="00E63ACC" w:rsidP="00E63AC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Assessment Reporting Form</w:t>
            </w:r>
            <w:r w:rsidR="006E53FD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6E53FD">
              <w:rPr>
                <w:rFonts w:cstheme="minorHAnsi"/>
                <w:sz w:val="24"/>
                <w:szCs w:val="24"/>
              </w:rPr>
              <w:t>This report</w:t>
            </w:r>
            <w:r>
              <w:rPr>
                <w:rFonts w:cstheme="minorHAnsi"/>
                <w:sz w:val="24"/>
                <w:szCs w:val="24"/>
              </w:rPr>
              <w:t xml:space="preserve"> is to show that a</w:t>
            </w:r>
            <w:r w:rsidR="006E53FD">
              <w:rPr>
                <w:rFonts w:cstheme="minorHAnsi"/>
                <w:sz w:val="24"/>
                <w:szCs w:val="24"/>
              </w:rPr>
              <w:t>ssessment is occurring and that the results are being used</w:t>
            </w:r>
            <w:r w:rsidR="006E53FD" w:rsidRPr="006E53FD">
              <w:rPr>
                <w:rFonts w:cstheme="minorHAnsi"/>
                <w:sz w:val="24"/>
                <w:szCs w:val="24"/>
              </w:rPr>
              <w:t xml:space="preserve"> to make changes to improve student learning</w:t>
            </w:r>
            <w:r w:rsidR="006E53FD">
              <w:rPr>
                <w:rFonts w:cstheme="minorHAnsi"/>
                <w:sz w:val="24"/>
                <w:szCs w:val="24"/>
              </w:rPr>
              <w:t xml:space="preserve">. </w:t>
            </w:r>
            <w:r>
              <w:rPr>
                <w:rFonts w:cstheme="minorHAnsi"/>
                <w:sz w:val="24"/>
                <w:szCs w:val="24"/>
              </w:rPr>
              <w:t>The a</w:t>
            </w:r>
            <w:r w:rsidR="006E53FD">
              <w:rPr>
                <w:rFonts w:cstheme="minorHAnsi"/>
                <w:sz w:val="24"/>
                <w:szCs w:val="24"/>
              </w:rPr>
              <w:t>ssessment</w:t>
            </w:r>
            <w:r>
              <w:rPr>
                <w:rFonts w:cstheme="minorHAnsi"/>
                <w:sz w:val="24"/>
                <w:szCs w:val="24"/>
              </w:rPr>
              <w:t xml:space="preserve"> being reported</w:t>
            </w:r>
            <w:r w:rsidR="006E53FD">
              <w:rPr>
                <w:rFonts w:cstheme="minorHAnsi"/>
                <w:sz w:val="24"/>
                <w:szCs w:val="24"/>
              </w:rPr>
              <w:t xml:space="preserve"> could be an assessment of a Program Learning Outcome (PLO) or a Measurab</w:t>
            </w:r>
            <w:r>
              <w:rPr>
                <w:rFonts w:cstheme="minorHAnsi"/>
                <w:sz w:val="24"/>
                <w:szCs w:val="24"/>
              </w:rPr>
              <w:t xml:space="preserve">le Student Level Outcome (MSLO). </w:t>
            </w:r>
            <w:r w:rsidR="006E53FD">
              <w:rPr>
                <w:rFonts w:cstheme="minorHAnsi"/>
                <w:sz w:val="24"/>
                <w:szCs w:val="24"/>
              </w:rPr>
              <w:t>Each program should be assessing and gathering data for at least two PLOs</w:t>
            </w:r>
            <w:r>
              <w:rPr>
                <w:rFonts w:cstheme="minorHAnsi"/>
                <w:sz w:val="24"/>
                <w:szCs w:val="24"/>
              </w:rPr>
              <w:t xml:space="preserve"> OR two MSLOs</w:t>
            </w:r>
            <w:r w:rsidR="006E53FD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that contain CSLOs</w:t>
            </w:r>
            <w:r w:rsidR="006E53FD">
              <w:rPr>
                <w:rFonts w:cstheme="minorHAnsi"/>
                <w:sz w:val="24"/>
                <w:szCs w:val="24"/>
              </w:rPr>
              <w:t xml:space="preserve"> each year. </w:t>
            </w:r>
          </w:p>
        </w:tc>
      </w:tr>
      <w:tr w:rsidR="00E07926" w:rsidRPr="00473821" w14:paraId="26A1B3C7" w14:textId="77777777" w:rsidTr="001A39DB">
        <w:trPr>
          <w:trHeight w:val="3788"/>
        </w:trPr>
        <w:tc>
          <w:tcPr>
            <w:tcW w:w="9350" w:type="dxa"/>
          </w:tcPr>
          <w:p w14:paraId="3AD40A57" w14:textId="6F482316" w:rsidR="00E07926" w:rsidRPr="001A39DB" w:rsidRDefault="00E07926" w:rsidP="001A39D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1A39DB">
              <w:rPr>
                <w:rFonts w:cstheme="minorHAnsi"/>
                <w:b/>
                <w:sz w:val="24"/>
                <w:szCs w:val="24"/>
              </w:rPr>
              <w:t xml:space="preserve">What </w:t>
            </w:r>
            <w:r w:rsidR="00A9102D" w:rsidRPr="001A39DB">
              <w:rPr>
                <w:rFonts w:cstheme="minorHAnsi"/>
                <w:b/>
                <w:sz w:val="24"/>
                <w:szCs w:val="24"/>
              </w:rPr>
              <w:t>P</w:t>
            </w:r>
            <w:r w:rsidRPr="001A39DB">
              <w:rPr>
                <w:rFonts w:cstheme="minorHAnsi"/>
                <w:b/>
                <w:sz w:val="24"/>
                <w:szCs w:val="24"/>
              </w:rPr>
              <w:t>LOs</w:t>
            </w:r>
            <w:r w:rsidR="00E63ACC" w:rsidRPr="001A39D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90C4E" w:rsidRPr="001A39DB">
              <w:rPr>
                <w:rFonts w:cstheme="minorHAnsi"/>
                <w:b/>
                <w:sz w:val="24"/>
                <w:szCs w:val="24"/>
              </w:rPr>
              <w:t>and/</w:t>
            </w:r>
            <w:r w:rsidR="00E63ACC" w:rsidRPr="001A39DB">
              <w:rPr>
                <w:rFonts w:cstheme="minorHAnsi"/>
                <w:b/>
                <w:sz w:val="24"/>
                <w:szCs w:val="24"/>
              </w:rPr>
              <w:t>or MSLOs and</w:t>
            </w:r>
            <w:r w:rsidRPr="001A39DB">
              <w:rPr>
                <w:rFonts w:cstheme="minorHAnsi"/>
                <w:b/>
                <w:sz w:val="24"/>
                <w:szCs w:val="24"/>
              </w:rPr>
              <w:t xml:space="preserve"> CSLOs </w:t>
            </w:r>
            <w:r w:rsidR="001A39DB" w:rsidRPr="001A39DB">
              <w:rPr>
                <w:rFonts w:cstheme="minorHAnsi"/>
                <w:b/>
                <w:sz w:val="24"/>
                <w:szCs w:val="24"/>
              </w:rPr>
              <w:t>are you going to</w:t>
            </w:r>
            <w:r w:rsidRPr="001A39DB">
              <w:rPr>
                <w:rFonts w:cstheme="minorHAnsi"/>
                <w:b/>
                <w:sz w:val="24"/>
                <w:szCs w:val="24"/>
              </w:rPr>
              <w:t xml:space="preserve"> assess this year?</w:t>
            </w:r>
            <w:r w:rsidR="00A9102D" w:rsidRPr="001A39D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32F5460F" w14:textId="77777777" w:rsidR="001A39DB" w:rsidRPr="001A39DB" w:rsidRDefault="001A39DB" w:rsidP="001A39D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r w:rsidRPr="001A39DB">
              <w:rPr>
                <w:rFonts w:cstheme="minorHAnsi"/>
                <w:b/>
                <w:sz w:val="24"/>
                <w:szCs w:val="24"/>
              </w:rPr>
              <w:t>CAC.CSLO.02:</w:t>
            </w:r>
            <w:r w:rsidRPr="001A39DB">
              <w:rPr>
                <w:rFonts w:cstheme="minorHAnsi"/>
                <w:bCs/>
                <w:sz w:val="24"/>
                <w:szCs w:val="24"/>
              </w:rPr>
              <w:t xml:space="preserve"> Integrative Knowledge. Identify, comprehend, apply and synthesize facts, concepts, theories and practices across broad and specialized knowledge areas.</w:t>
            </w:r>
          </w:p>
          <w:p w14:paraId="28896B55" w14:textId="6B83CD19" w:rsidR="001A39DB" w:rsidRPr="001A39DB" w:rsidRDefault="001A39DB" w:rsidP="001A39D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r w:rsidRPr="001A39DB">
              <w:rPr>
                <w:rFonts w:cstheme="minorHAnsi"/>
                <w:b/>
                <w:sz w:val="24"/>
                <w:szCs w:val="24"/>
              </w:rPr>
              <w:t xml:space="preserve">CAC.CSLO.04: </w:t>
            </w:r>
            <w:r w:rsidRPr="001A39DB">
              <w:rPr>
                <w:rFonts w:cstheme="minorHAnsi"/>
                <w:bCs/>
                <w:sz w:val="24"/>
                <w:szCs w:val="24"/>
              </w:rPr>
              <w:t>Reasoning Skills. Inquire and analyze to solve problems, draw logical conclusions, or create innovative ideas.</w:t>
            </w:r>
          </w:p>
          <w:p w14:paraId="0FD42218" w14:textId="17CD309E" w:rsidR="001A39DB" w:rsidRPr="001A39DB" w:rsidRDefault="001A39DB" w:rsidP="001A39D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r w:rsidRPr="001A39DB">
              <w:rPr>
                <w:rFonts w:cstheme="minorHAnsi"/>
                <w:b/>
                <w:sz w:val="24"/>
                <w:szCs w:val="24"/>
              </w:rPr>
              <w:t xml:space="preserve">RDG100.MSLO.02: </w:t>
            </w:r>
            <w:r w:rsidRPr="001A39DB">
              <w:rPr>
                <w:rFonts w:cstheme="minorHAnsi"/>
                <w:bCs/>
                <w:sz w:val="24"/>
                <w:szCs w:val="24"/>
              </w:rPr>
              <w:t>(Analysis Level) Analyze textbook information and readings for topics, main ideas (stated or implied), and supporting details.</w:t>
            </w:r>
          </w:p>
          <w:p w14:paraId="49919DCD" w14:textId="77777777" w:rsidR="001A39DB" w:rsidRPr="001A39DB" w:rsidRDefault="001A39DB" w:rsidP="001A39D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r w:rsidRPr="001A39DB">
              <w:rPr>
                <w:rFonts w:cstheme="minorHAnsi"/>
                <w:b/>
                <w:sz w:val="24"/>
                <w:szCs w:val="24"/>
              </w:rPr>
              <w:t xml:space="preserve">RDG100.MSLO.07: </w:t>
            </w:r>
            <w:r w:rsidRPr="001A39DB">
              <w:rPr>
                <w:rFonts w:cstheme="minorHAnsi"/>
                <w:bCs/>
                <w:sz w:val="24"/>
                <w:szCs w:val="24"/>
              </w:rPr>
              <w:t>(Comprehension Level) Identify author's purpose, tone and possible bias.</w:t>
            </w:r>
          </w:p>
          <w:p w14:paraId="1E8D1D17" w14:textId="41C4597A" w:rsidR="00E07926" w:rsidRPr="001A39DB" w:rsidRDefault="001A39DB" w:rsidP="00711DD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r w:rsidRPr="001A39DB">
              <w:rPr>
                <w:rFonts w:cstheme="minorHAnsi"/>
                <w:b/>
                <w:sz w:val="24"/>
                <w:szCs w:val="24"/>
              </w:rPr>
              <w:t xml:space="preserve">RDG100.MSLO.08: </w:t>
            </w:r>
            <w:r w:rsidRPr="001A39DB">
              <w:rPr>
                <w:rFonts w:cstheme="minorHAnsi"/>
                <w:bCs/>
                <w:sz w:val="24"/>
                <w:szCs w:val="24"/>
              </w:rPr>
              <w:t>(Application Level) Apply critical reading/thinking strategies in order to evaluate evidence used to support specific claims.</w:t>
            </w:r>
          </w:p>
        </w:tc>
      </w:tr>
      <w:tr w:rsidR="00E07926" w:rsidRPr="00473821" w14:paraId="71927C05" w14:textId="77777777" w:rsidTr="00711DD4">
        <w:tc>
          <w:tcPr>
            <w:tcW w:w="9350" w:type="dxa"/>
          </w:tcPr>
          <w:p w14:paraId="247AAA84" w14:textId="24A978BC" w:rsidR="00E07926" w:rsidRDefault="00E07926" w:rsidP="00711DD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2. </w:t>
            </w:r>
            <w:r w:rsidR="00C51883">
              <w:rPr>
                <w:rFonts w:cstheme="minorHAnsi"/>
                <w:b/>
                <w:sz w:val="24"/>
                <w:szCs w:val="24"/>
              </w:rPr>
              <w:t>Describe the assessment method used and criteria for successful achievement of student learning outcomes.</w:t>
            </w:r>
            <w:r w:rsidR="006E53FD">
              <w:rPr>
                <w:rFonts w:cstheme="minorHAnsi"/>
                <w:b/>
                <w:sz w:val="24"/>
                <w:szCs w:val="24"/>
              </w:rPr>
              <w:t xml:space="preserve"> (e.g., rubrics, licensing exam</w:t>
            </w:r>
            <w:r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6E53FD">
              <w:rPr>
                <w:rFonts w:cstheme="minorHAnsi"/>
                <w:b/>
                <w:sz w:val="24"/>
                <w:szCs w:val="24"/>
              </w:rPr>
              <w:t>internship, portfolio</w:t>
            </w:r>
            <w:r>
              <w:rPr>
                <w:rFonts w:cstheme="minorHAnsi"/>
                <w:b/>
                <w:sz w:val="24"/>
                <w:szCs w:val="24"/>
              </w:rPr>
              <w:t xml:space="preserve">, exam, </w:t>
            </w:r>
            <w:r w:rsidR="00B90C4E">
              <w:rPr>
                <w:rFonts w:cstheme="minorHAnsi"/>
                <w:b/>
                <w:sz w:val="24"/>
                <w:szCs w:val="24"/>
              </w:rPr>
              <w:t xml:space="preserve">research </w:t>
            </w:r>
            <w:r>
              <w:rPr>
                <w:rFonts w:cstheme="minorHAnsi"/>
                <w:b/>
                <w:sz w:val="24"/>
                <w:szCs w:val="24"/>
              </w:rPr>
              <w:t>paper,</w:t>
            </w:r>
            <w:r w:rsidR="006E53F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E63ACC">
              <w:rPr>
                <w:rFonts w:cstheme="minorHAnsi"/>
                <w:b/>
                <w:sz w:val="24"/>
                <w:szCs w:val="24"/>
              </w:rPr>
              <w:t xml:space="preserve">performance exam, </w:t>
            </w:r>
            <w:r w:rsidR="006E53FD">
              <w:rPr>
                <w:rFonts w:cstheme="minorHAnsi"/>
                <w:b/>
                <w:sz w:val="24"/>
                <w:szCs w:val="24"/>
              </w:rPr>
              <w:t>EAC,</w:t>
            </w:r>
            <w:r>
              <w:rPr>
                <w:rFonts w:cstheme="minorHAnsi"/>
                <w:b/>
                <w:sz w:val="24"/>
                <w:szCs w:val="24"/>
              </w:rPr>
              <w:t xml:space="preserve"> etc.)</w:t>
            </w:r>
          </w:p>
          <w:p w14:paraId="49F6AAE1" w14:textId="5F9EC7FD" w:rsidR="00B602DC" w:rsidRPr="00B602DC" w:rsidRDefault="001A39DB" w:rsidP="00B602DC">
            <w:pPr>
              <w:pStyle w:val="ListParagraph"/>
              <w:numPr>
                <w:ilvl w:val="0"/>
                <w:numId w:val="3"/>
              </w:numPr>
              <w:ind w:left="150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Critical Thinking</w:t>
            </w:r>
            <w:r w:rsidR="003C483F">
              <w:rPr>
                <w:rFonts w:cstheme="minorHAnsi"/>
                <w:b/>
                <w:sz w:val="24"/>
                <w:szCs w:val="24"/>
              </w:rPr>
              <w:t>/Reading</w:t>
            </w:r>
            <w:r>
              <w:rPr>
                <w:rFonts w:cstheme="minorHAnsi"/>
                <w:b/>
                <w:sz w:val="24"/>
                <w:szCs w:val="24"/>
              </w:rPr>
              <w:t xml:space="preserve"> Quiz: </w:t>
            </w:r>
            <w:r>
              <w:rPr>
                <w:rFonts w:cstheme="minorHAnsi"/>
                <w:bCs/>
                <w:sz w:val="24"/>
                <w:szCs w:val="24"/>
              </w:rPr>
              <w:t>A</w:t>
            </w:r>
            <w:r w:rsidR="00083016">
              <w:rPr>
                <w:rFonts w:cstheme="minorHAnsi"/>
                <w:bCs/>
                <w:sz w:val="24"/>
                <w:szCs w:val="24"/>
              </w:rPr>
              <w:t>n 11</w:t>
            </w:r>
            <w:r>
              <w:rPr>
                <w:rFonts w:cstheme="minorHAnsi"/>
                <w:bCs/>
                <w:sz w:val="24"/>
                <w:szCs w:val="24"/>
              </w:rPr>
              <w:t xml:space="preserve"> question Critic</w:t>
            </w:r>
            <w:r w:rsidR="004A59E9">
              <w:rPr>
                <w:rFonts w:cstheme="minorHAnsi"/>
                <w:bCs/>
                <w:sz w:val="24"/>
                <w:szCs w:val="24"/>
              </w:rPr>
              <w:t>al Thinking/Reading Quiz was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3C483F">
              <w:rPr>
                <w:rFonts w:cstheme="minorHAnsi"/>
                <w:bCs/>
                <w:sz w:val="24"/>
                <w:szCs w:val="24"/>
              </w:rPr>
              <w:t>administered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3C483F">
              <w:rPr>
                <w:rFonts w:cstheme="minorHAnsi"/>
                <w:bCs/>
                <w:sz w:val="24"/>
                <w:szCs w:val="24"/>
              </w:rPr>
              <w:t>through</w:t>
            </w:r>
            <w:r>
              <w:rPr>
                <w:rFonts w:cstheme="minorHAnsi"/>
                <w:bCs/>
                <w:sz w:val="24"/>
                <w:szCs w:val="24"/>
              </w:rPr>
              <w:t xml:space="preserve"> Blackboard</w:t>
            </w:r>
            <w:r w:rsidR="003C483F">
              <w:rPr>
                <w:rFonts w:cstheme="minorHAnsi"/>
                <w:bCs/>
                <w:sz w:val="24"/>
                <w:szCs w:val="24"/>
              </w:rPr>
              <w:t xml:space="preserve"> by</w:t>
            </w:r>
            <w:r w:rsidR="00711DD4">
              <w:rPr>
                <w:rFonts w:cstheme="minorHAnsi"/>
                <w:bCs/>
                <w:sz w:val="24"/>
                <w:szCs w:val="24"/>
              </w:rPr>
              <w:t xml:space="preserve"> all faculty (there were no adjunct faculty this spring due to the decrease in the number of reading classes due to the removal of the reading requirement)</w:t>
            </w:r>
            <w:r w:rsidR="00784F4C">
              <w:rPr>
                <w:rFonts w:cstheme="minorHAnsi"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4A59E9">
              <w:rPr>
                <w:rFonts w:cstheme="minorHAnsi"/>
                <w:bCs/>
                <w:sz w:val="24"/>
                <w:szCs w:val="24"/>
              </w:rPr>
              <w:t xml:space="preserve">It was administered </w:t>
            </w:r>
            <w:r>
              <w:rPr>
                <w:rFonts w:cstheme="minorHAnsi"/>
                <w:bCs/>
                <w:sz w:val="24"/>
                <w:szCs w:val="24"/>
              </w:rPr>
              <w:t>to every RDG 100 student. T</w:t>
            </w:r>
            <w:r w:rsidR="004A59E9">
              <w:rPr>
                <w:rFonts w:cstheme="minorHAnsi"/>
                <w:bCs/>
                <w:sz w:val="24"/>
                <w:szCs w:val="24"/>
              </w:rPr>
              <w:t>he above CSLOs and MSLOs were</w:t>
            </w:r>
            <w:r>
              <w:rPr>
                <w:rFonts w:cstheme="minorHAnsi"/>
                <w:bCs/>
                <w:sz w:val="24"/>
                <w:szCs w:val="24"/>
              </w:rPr>
              <w:t xml:space="preserve"> aligned </w:t>
            </w:r>
            <w:r w:rsidR="00590785">
              <w:rPr>
                <w:rFonts w:cstheme="minorHAnsi"/>
                <w:bCs/>
                <w:sz w:val="24"/>
                <w:szCs w:val="24"/>
              </w:rPr>
              <w:t>to each of the 11</w:t>
            </w:r>
            <w:bookmarkStart w:id="0" w:name="_GoBack"/>
            <w:bookmarkEnd w:id="0"/>
            <w:r>
              <w:rPr>
                <w:rFonts w:cstheme="minorHAnsi"/>
                <w:bCs/>
                <w:sz w:val="24"/>
                <w:szCs w:val="24"/>
              </w:rPr>
              <w:t xml:space="preserve"> questions and reports on data regarding student pe</w:t>
            </w:r>
            <w:r w:rsidR="004A59E9">
              <w:rPr>
                <w:rFonts w:cstheme="minorHAnsi"/>
                <w:bCs/>
                <w:sz w:val="24"/>
                <w:szCs w:val="24"/>
              </w:rPr>
              <w:t xml:space="preserve">rformance on each question was </w:t>
            </w:r>
            <w:r>
              <w:rPr>
                <w:rFonts w:cstheme="minorHAnsi"/>
                <w:bCs/>
                <w:sz w:val="24"/>
                <w:szCs w:val="24"/>
              </w:rPr>
              <w:t>compiled</w:t>
            </w:r>
            <w:r w:rsidR="003C483F">
              <w:rPr>
                <w:rFonts w:cstheme="minorHAnsi"/>
                <w:bCs/>
                <w:sz w:val="24"/>
                <w:szCs w:val="24"/>
              </w:rPr>
              <w:t xml:space="preserve"> and analyzed</w:t>
            </w:r>
            <w:r w:rsidR="00711DD4">
              <w:rPr>
                <w:rFonts w:cstheme="minorHAnsi"/>
                <w:bCs/>
                <w:sz w:val="24"/>
                <w:szCs w:val="24"/>
              </w:rPr>
              <w:t>. In the fall</w:t>
            </w:r>
            <w:r w:rsidR="004A59E9">
              <w:rPr>
                <w:rFonts w:cstheme="minorHAnsi"/>
                <w:bCs/>
                <w:sz w:val="24"/>
                <w:szCs w:val="24"/>
              </w:rPr>
              <w:t>,</w:t>
            </w:r>
            <w:r w:rsidR="00711DD4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4A59E9">
              <w:rPr>
                <w:rFonts w:cstheme="minorHAnsi"/>
                <w:bCs/>
                <w:sz w:val="24"/>
                <w:szCs w:val="24"/>
              </w:rPr>
              <w:t>the same assessment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711DD4">
              <w:rPr>
                <w:rFonts w:cstheme="minorHAnsi"/>
                <w:bCs/>
                <w:sz w:val="24"/>
                <w:szCs w:val="24"/>
              </w:rPr>
              <w:t>was administered to establish a benchmark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711DD4">
              <w:rPr>
                <w:rFonts w:cstheme="minorHAnsi"/>
                <w:bCs/>
                <w:sz w:val="24"/>
                <w:szCs w:val="24"/>
              </w:rPr>
              <w:t>report. Then the results were</w:t>
            </w:r>
            <w:r>
              <w:rPr>
                <w:rFonts w:cstheme="minorHAnsi"/>
                <w:bCs/>
                <w:sz w:val="24"/>
                <w:szCs w:val="24"/>
              </w:rPr>
              <w:t xml:space="preserve"> dis</w:t>
            </w:r>
            <w:r w:rsidR="00711DD4">
              <w:rPr>
                <w:rFonts w:cstheme="minorHAnsi"/>
                <w:bCs/>
                <w:sz w:val="24"/>
                <w:szCs w:val="24"/>
              </w:rPr>
              <w:t>cussed to determine if there were</w:t>
            </w:r>
            <w:r>
              <w:rPr>
                <w:rFonts w:cstheme="minorHAnsi"/>
                <w:bCs/>
                <w:sz w:val="24"/>
                <w:szCs w:val="24"/>
              </w:rPr>
              <w:t xml:space="preserve"> any gaps in instruction or if </w:t>
            </w:r>
            <w:r w:rsidR="003C483F">
              <w:rPr>
                <w:rFonts w:cstheme="minorHAnsi"/>
                <w:bCs/>
                <w:sz w:val="24"/>
                <w:szCs w:val="24"/>
              </w:rPr>
              <w:t>the assessment needs to be modified.</w:t>
            </w:r>
          </w:p>
          <w:p w14:paraId="14898EDA" w14:textId="628BB14C" w:rsidR="001A39DB" w:rsidRPr="004A59E9" w:rsidRDefault="00711DD4" w:rsidP="004A59E9">
            <w:pPr>
              <w:pStyle w:val="ListParagraph"/>
              <w:numPr>
                <w:ilvl w:val="0"/>
                <w:numId w:val="3"/>
              </w:numPr>
              <w:ind w:left="1410"/>
              <w:rPr>
                <w:rFonts w:cstheme="minorHAnsi"/>
                <w:sz w:val="24"/>
                <w:szCs w:val="24"/>
              </w:rPr>
            </w:pPr>
            <w:r w:rsidRPr="00A02A2F">
              <w:rPr>
                <w:rFonts w:cstheme="minorHAnsi"/>
                <w:b/>
                <w:sz w:val="24"/>
                <w:szCs w:val="24"/>
              </w:rPr>
              <w:t xml:space="preserve">Changes Made after the Benchmark Data Analysis: </w:t>
            </w:r>
            <w:r w:rsidRPr="00A02A2F">
              <w:rPr>
                <w:rFonts w:cstheme="minorHAnsi"/>
                <w:sz w:val="24"/>
                <w:szCs w:val="24"/>
              </w:rPr>
              <w:t>The Reading Department found a question that most students did poorly on. We decided to edit the question once we realized that it asked stud</w:t>
            </w:r>
            <w:r w:rsidR="00A02A2F" w:rsidRPr="00A02A2F">
              <w:rPr>
                <w:rFonts w:cstheme="minorHAnsi"/>
                <w:sz w:val="24"/>
                <w:szCs w:val="24"/>
              </w:rPr>
              <w:t>ents about the “generalities</w:t>
            </w:r>
            <w:r w:rsidRPr="00A02A2F">
              <w:rPr>
                <w:rFonts w:cstheme="minorHAnsi"/>
                <w:sz w:val="24"/>
                <w:szCs w:val="24"/>
              </w:rPr>
              <w:t>” in</w:t>
            </w:r>
            <w:r w:rsidR="00A02A2F">
              <w:t xml:space="preserve"> </w:t>
            </w:r>
            <w:r w:rsidR="00EC695A">
              <w:t xml:space="preserve">a </w:t>
            </w:r>
            <w:r w:rsidR="00784F4C">
              <w:lastRenderedPageBreak/>
              <w:t>question on types of</w:t>
            </w:r>
            <w:r w:rsidR="00EC695A">
              <w:t xml:space="preserve"> support. </w:t>
            </w:r>
            <w:r w:rsidR="00EC695A" w:rsidRPr="004A59E9">
              <w:rPr>
                <w:rFonts w:cstheme="minorHAnsi"/>
                <w:sz w:val="24"/>
                <w:szCs w:val="24"/>
              </w:rPr>
              <w:t xml:space="preserve">Generalities </w:t>
            </w:r>
            <w:r w:rsidR="004A59E9">
              <w:rPr>
                <w:rFonts w:cstheme="minorHAnsi"/>
                <w:sz w:val="24"/>
                <w:szCs w:val="24"/>
              </w:rPr>
              <w:t>were</w:t>
            </w:r>
            <w:r w:rsidR="00B602DC" w:rsidRPr="004A59E9">
              <w:rPr>
                <w:rFonts w:cstheme="minorHAnsi"/>
                <w:sz w:val="24"/>
                <w:szCs w:val="24"/>
              </w:rPr>
              <w:t xml:space="preserve"> not covered in the textbook</w:t>
            </w:r>
            <w:r w:rsidR="004A59E9">
              <w:rPr>
                <w:rFonts w:cstheme="minorHAnsi"/>
                <w:sz w:val="24"/>
                <w:szCs w:val="24"/>
              </w:rPr>
              <w:t xml:space="preserve"> and was not a</w:t>
            </w:r>
            <w:r w:rsidR="00B602DC" w:rsidRPr="004A59E9">
              <w:rPr>
                <w:rFonts w:cstheme="minorHAnsi"/>
                <w:sz w:val="24"/>
                <w:szCs w:val="24"/>
              </w:rPr>
              <w:t xml:space="preserve"> MSLO</w:t>
            </w:r>
            <w:r w:rsidR="004A59E9">
              <w:rPr>
                <w:rFonts w:cstheme="minorHAnsi"/>
                <w:sz w:val="24"/>
                <w:szCs w:val="24"/>
              </w:rPr>
              <w:t xml:space="preserve"> or CLSO</w:t>
            </w:r>
            <w:r w:rsidR="00B602DC" w:rsidRPr="004A59E9">
              <w:rPr>
                <w:rFonts w:cstheme="minorHAnsi"/>
                <w:sz w:val="24"/>
                <w:szCs w:val="24"/>
              </w:rPr>
              <w:t xml:space="preserve">. </w:t>
            </w:r>
            <w:r w:rsidR="00123613">
              <w:rPr>
                <w:rFonts w:cstheme="minorHAnsi"/>
                <w:sz w:val="24"/>
                <w:szCs w:val="24"/>
              </w:rPr>
              <w:t>In addition, we</w:t>
            </w:r>
            <w:r w:rsidR="00B602DC" w:rsidRPr="004A59E9">
              <w:rPr>
                <w:rFonts w:cstheme="minorHAnsi"/>
                <w:sz w:val="24"/>
                <w:szCs w:val="24"/>
              </w:rPr>
              <w:t xml:space="preserve"> found that the quiz had been revise</w:t>
            </w:r>
            <w:r w:rsidR="00EC695A" w:rsidRPr="004A59E9">
              <w:rPr>
                <w:rFonts w:cstheme="minorHAnsi"/>
                <w:sz w:val="24"/>
                <w:szCs w:val="24"/>
              </w:rPr>
              <w:t>d and not all instructors had</w:t>
            </w:r>
            <w:r w:rsidR="00B602DC" w:rsidRPr="004A59E9">
              <w:rPr>
                <w:rFonts w:cstheme="minorHAnsi"/>
                <w:sz w:val="24"/>
                <w:szCs w:val="24"/>
              </w:rPr>
              <w:t xml:space="preserve"> the revised quiz</w:t>
            </w:r>
            <w:r w:rsidR="00EC695A" w:rsidRPr="004A59E9">
              <w:rPr>
                <w:rFonts w:cstheme="minorHAnsi"/>
                <w:sz w:val="24"/>
                <w:szCs w:val="24"/>
              </w:rPr>
              <w:t xml:space="preserve"> in their course</w:t>
            </w:r>
            <w:r w:rsidR="00B602DC" w:rsidRPr="004A59E9">
              <w:rPr>
                <w:rFonts w:cstheme="minorHAnsi"/>
                <w:sz w:val="24"/>
                <w:szCs w:val="24"/>
              </w:rPr>
              <w:t xml:space="preserve"> so the </w:t>
            </w:r>
            <w:proofErr w:type="gramStart"/>
            <w:r w:rsidR="00B602DC" w:rsidRPr="004A59E9">
              <w:rPr>
                <w:rFonts w:cstheme="minorHAnsi"/>
                <w:sz w:val="24"/>
                <w:szCs w:val="24"/>
              </w:rPr>
              <w:t>KR(</w:t>
            </w:r>
            <w:proofErr w:type="gramEnd"/>
            <w:r w:rsidR="00B602DC" w:rsidRPr="004A59E9">
              <w:rPr>
                <w:rFonts w:cstheme="minorHAnsi"/>
                <w:sz w:val="24"/>
                <w:szCs w:val="24"/>
              </w:rPr>
              <w:t>20) / Cronbach Alpha Score was not given.</w:t>
            </w:r>
            <w:r w:rsidR="00B602DC" w:rsidRPr="004A59E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602DC" w:rsidRPr="004A59E9">
              <w:rPr>
                <w:rFonts w:cstheme="minorHAnsi"/>
                <w:sz w:val="24"/>
                <w:szCs w:val="24"/>
              </w:rPr>
              <w:t>The revised quiz was uploaded into each faculty’s course</w:t>
            </w:r>
            <w:r w:rsidR="00EC695A" w:rsidRPr="004A59E9">
              <w:rPr>
                <w:rFonts w:cstheme="minorHAnsi"/>
                <w:sz w:val="24"/>
                <w:szCs w:val="24"/>
              </w:rPr>
              <w:t xml:space="preserve"> for consistency</w:t>
            </w:r>
            <w:r w:rsidR="00B602DC" w:rsidRPr="004A59E9">
              <w:rPr>
                <w:rFonts w:cstheme="minorHAnsi"/>
                <w:sz w:val="24"/>
                <w:szCs w:val="24"/>
              </w:rPr>
              <w:t>.</w:t>
            </w:r>
            <w:r w:rsidR="00123613">
              <w:rPr>
                <w:rFonts w:cstheme="minorHAnsi"/>
                <w:sz w:val="24"/>
                <w:szCs w:val="24"/>
              </w:rPr>
              <w:t xml:space="preserve"> Also</w:t>
            </w:r>
            <w:r w:rsidR="00B602DC" w:rsidRPr="004A59E9">
              <w:rPr>
                <w:rFonts w:cstheme="minorHAnsi"/>
                <w:sz w:val="24"/>
                <w:szCs w:val="24"/>
              </w:rPr>
              <w:t>, the mastery l</w:t>
            </w:r>
            <w:r w:rsidR="00EC695A" w:rsidRPr="004A59E9">
              <w:rPr>
                <w:rFonts w:cstheme="minorHAnsi"/>
                <w:sz w:val="24"/>
                <w:szCs w:val="24"/>
              </w:rPr>
              <w:t>evel was raised from 60% to 80% to more accurately reflect mastery.</w:t>
            </w:r>
          </w:p>
          <w:p w14:paraId="2A4343F3" w14:textId="564E850E" w:rsidR="0063088D" w:rsidRDefault="0063088D" w:rsidP="00711DD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07926" w:rsidRPr="00473821" w14:paraId="4ED9475B" w14:textId="77777777" w:rsidTr="00711DD4">
        <w:tc>
          <w:tcPr>
            <w:tcW w:w="9350" w:type="dxa"/>
          </w:tcPr>
          <w:p w14:paraId="1BACB53E" w14:textId="30BFE685" w:rsidR="00E07926" w:rsidRPr="00EC695A" w:rsidRDefault="00A9102D" w:rsidP="00EC695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sz w:val="24"/>
                <w:szCs w:val="24"/>
              </w:rPr>
            </w:pPr>
            <w:r w:rsidRPr="00EC695A">
              <w:rPr>
                <w:rFonts w:cstheme="minorHAnsi"/>
                <w:b/>
                <w:sz w:val="24"/>
                <w:szCs w:val="24"/>
              </w:rPr>
              <w:lastRenderedPageBreak/>
              <w:t>How many students were proficient in the PLOs</w:t>
            </w:r>
            <w:r w:rsidR="00E63ACC" w:rsidRPr="00EC695A">
              <w:rPr>
                <w:rFonts w:cstheme="minorHAnsi"/>
                <w:b/>
                <w:sz w:val="24"/>
                <w:szCs w:val="24"/>
              </w:rPr>
              <w:t xml:space="preserve"> OR MSLOs and</w:t>
            </w:r>
            <w:r w:rsidR="006E53FD" w:rsidRPr="00EC695A">
              <w:rPr>
                <w:rFonts w:cstheme="minorHAnsi"/>
                <w:b/>
                <w:sz w:val="24"/>
                <w:szCs w:val="24"/>
              </w:rPr>
              <w:t xml:space="preserve"> CSLOs</w:t>
            </w:r>
            <w:r w:rsidRPr="00EC695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90C4E" w:rsidRPr="00EC695A">
              <w:rPr>
                <w:rFonts w:cstheme="minorHAnsi"/>
                <w:b/>
                <w:sz w:val="24"/>
                <w:szCs w:val="24"/>
              </w:rPr>
              <w:t>and how many were not? What was determined as proficient</w:t>
            </w:r>
            <w:r w:rsidR="007016DA" w:rsidRPr="00EC695A">
              <w:rPr>
                <w:rFonts w:cstheme="minorHAnsi"/>
                <w:b/>
                <w:sz w:val="24"/>
                <w:szCs w:val="24"/>
              </w:rPr>
              <w:t>?</w:t>
            </w:r>
            <w:r w:rsidR="00B90C4E" w:rsidRPr="00EC695A">
              <w:rPr>
                <w:rFonts w:cstheme="minorHAnsi"/>
                <w:b/>
                <w:sz w:val="24"/>
                <w:szCs w:val="24"/>
              </w:rPr>
              <w:t xml:space="preserve"> (</w:t>
            </w:r>
            <w:r w:rsidR="007016DA" w:rsidRPr="00EC695A">
              <w:rPr>
                <w:rFonts w:cstheme="minorHAnsi"/>
                <w:b/>
                <w:sz w:val="24"/>
                <w:szCs w:val="24"/>
              </w:rPr>
              <w:t>i.e. 70% = proficient)</w:t>
            </w:r>
            <w:r w:rsidR="0063088D" w:rsidRPr="00EC695A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111537DC" w14:textId="1A6F4C31" w:rsidR="003B153C" w:rsidRDefault="003B153C" w:rsidP="003B153C">
            <w:pPr>
              <w:pStyle w:val="ListParagraph"/>
              <w:rPr>
                <w:rFonts w:cstheme="minorHAnsi"/>
                <w:b/>
                <w:sz w:val="24"/>
                <w:szCs w:val="24"/>
              </w:rPr>
            </w:pPr>
          </w:p>
          <w:p w14:paraId="3ACAC16D" w14:textId="48E8E437" w:rsidR="00A02A2F" w:rsidRDefault="00EC695A" w:rsidP="003B153C">
            <w:pPr>
              <w:pStyle w:val="ListParagrap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Fall 2020 - </w:t>
            </w:r>
            <w:r w:rsidR="00A02A2F">
              <w:rPr>
                <w:rFonts w:cstheme="minorHAnsi"/>
                <w:b/>
                <w:sz w:val="24"/>
                <w:szCs w:val="24"/>
              </w:rPr>
              <w:t>Benchmark (60% Proficiency)</w:t>
            </w:r>
          </w:p>
          <w:p w14:paraId="46D6CD7B" w14:textId="0E0118DF" w:rsidR="005B589A" w:rsidRPr="003B153C" w:rsidRDefault="0069102F" w:rsidP="005B589A">
            <w:pPr>
              <w:pStyle w:val="ListParagraph"/>
              <w:rPr>
                <w:rFonts w:cstheme="minorHAnsi"/>
                <w:bCs/>
                <w:sz w:val="24"/>
                <w:szCs w:val="24"/>
              </w:rPr>
            </w:pPr>
            <w:r w:rsidRPr="003B153C">
              <w:rPr>
                <w:rFonts w:cstheme="minorHAnsi"/>
                <w:bCs/>
                <w:sz w:val="24"/>
                <w:szCs w:val="24"/>
              </w:rPr>
              <w:t xml:space="preserve">The following CSLO’s and MSLO’s were </w:t>
            </w:r>
            <w:r w:rsidR="003B153C" w:rsidRPr="003B153C">
              <w:rPr>
                <w:rFonts w:cstheme="minorHAnsi"/>
                <w:bCs/>
                <w:sz w:val="24"/>
                <w:szCs w:val="24"/>
              </w:rPr>
              <w:t xml:space="preserve">assessed in this Critical Reading Assessment. </w:t>
            </w:r>
          </w:p>
          <w:p w14:paraId="35300F04" w14:textId="1912B7D1" w:rsidR="00A14BB2" w:rsidRPr="001A39DB" w:rsidRDefault="00A14BB2" w:rsidP="00A14BB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sz w:val="24"/>
                <w:szCs w:val="24"/>
              </w:rPr>
            </w:pPr>
            <w:r w:rsidRPr="001A39DB">
              <w:rPr>
                <w:rFonts w:cstheme="minorHAnsi"/>
                <w:b/>
                <w:sz w:val="24"/>
                <w:szCs w:val="24"/>
              </w:rPr>
              <w:t>CAC.CSLO.02:</w:t>
            </w:r>
            <w:r w:rsidRPr="001A39DB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5E0283">
              <w:rPr>
                <w:rFonts w:cstheme="minorHAnsi"/>
                <w:bCs/>
                <w:sz w:val="24"/>
                <w:szCs w:val="24"/>
              </w:rPr>
              <w:t xml:space="preserve">Proficient - </w:t>
            </w:r>
            <w:r>
              <w:rPr>
                <w:rFonts w:cstheme="minorHAnsi"/>
                <w:bCs/>
                <w:sz w:val="24"/>
                <w:szCs w:val="24"/>
              </w:rPr>
              <w:t>88%</w:t>
            </w:r>
            <w:r w:rsidR="003B153C">
              <w:rPr>
                <w:rFonts w:cstheme="minorHAnsi"/>
                <w:bCs/>
                <w:sz w:val="24"/>
                <w:szCs w:val="24"/>
              </w:rPr>
              <w:t xml:space="preserve"> - </w:t>
            </w:r>
            <w:r w:rsidR="005E0283">
              <w:rPr>
                <w:rFonts w:cstheme="minorHAnsi"/>
                <w:bCs/>
                <w:sz w:val="24"/>
                <w:szCs w:val="24"/>
              </w:rPr>
              <w:t xml:space="preserve"> Not Proficient - </w:t>
            </w:r>
            <w:r w:rsidR="003B153C">
              <w:rPr>
                <w:rFonts w:cstheme="minorHAnsi"/>
                <w:bCs/>
                <w:sz w:val="24"/>
                <w:szCs w:val="24"/>
              </w:rPr>
              <w:t>12</w:t>
            </w:r>
            <w:r w:rsidR="005E0283">
              <w:rPr>
                <w:rFonts w:cstheme="minorHAnsi"/>
                <w:bCs/>
                <w:sz w:val="24"/>
                <w:szCs w:val="24"/>
              </w:rPr>
              <w:t xml:space="preserve">% </w:t>
            </w:r>
          </w:p>
          <w:p w14:paraId="111B668F" w14:textId="2BC791F4" w:rsidR="00A14BB2" w:rsidRDefault="00A14BB2" w:rsidP="00A14BB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sz w:val="24"/>
                <w:szCs w:val="24"/>
              </w:rPr>
            </w:pPr>
            <w:r w:rsidRPr="001A39DB">
              <w:rPr>
                <w:rFonts w:cstheme="minorHAnsi"/>
                <w:b/>
                <w:sz w:val="24"/>
                <w:szCs w:val="24"/>
              </w:rPr>
              <w:t xml:space="preserve">CAC.CSLO.04: </w:t>
            </w:r>
            <w:r w:rsidR="005E0283">
              <w:rPr>
                <w:rFonts w:cstheme="minorHAnsi"/>
                <w:bCs/>
                <w:sz w:val="24"/>
                <w:szCs w:val="24"/>
              </w:rPr>
              <w:t xml:space="preserve">Proficient - 87% -  Not Proficient - 13% </w:t>
            </w:r>
          </w:p>
          <w:p w14:paraId="5AF8B2A5" w14:textId="0A507E61" w:rsidR="00A14BB2" w:rsidRPr="00A14BB2" w:rsidRDefault="00A14BB2" w:rsidP="00A14BB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sz w:val="24"/>
                <w:szCs w:val="24"/>
              </w:rPr>
            </w:pPr>
            <w:r w:rsidRPr="00A14BB2">
              <w:rPr>
                <w:rFonts w:cstheme="minorHAnsi"/>
                <w:b/>
                <w:sz w:val="24"/>
                <w:szCs w:val="24"/>
              </w:rPr>
              <w:t xml:space="preserve">RDG100.MSLO.02: </w:t>
            </w:r>
            <w:r w:rsidR="005E0283">
              <w:rPr>
                <w:rFonts w:cstheme="minorHAnsi"/>
                <w:bCs/>
                <w:sz w:val="24"/>
                <w:szCs w:val="24"/>
              </w:rPr>
              <w:t>Proficient - 89% -  Not Proficient - 11%</w:t>
            </w:r>
          </w:p>
          <w:p w14:paraId="6F847C29" w14:textId="467A375F" w:rsidR="005B589A" w:rsidRDefault="00A14BB2" w:rsidP="00A14BB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sz w:val="24"/>
                <w:szCs w:val="24"/>
              </w:rPr>
            </w:pPr>
            <w:r w:rsidRPr="001A39DB">
              <w:rPr>
                <w:rFonts w:cstheme="minorHAnsi"/>
                <w:b/>
                <w:sz w:val="24"/>
                <w:szCs w:val="24"/>
              </w:rPr>
              <w:t>RDG100.MSLO.07:</w:t>
            </w:r>
            <w:r w:rsidR="005B589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5E0283">
              <w:rPr>
                <w:rFonts w:cstheme="minorHAnsi"/>
                <w:bCs/>
                <w:sz w:val="24"/>
                <w:szCs w:val="24"/>
              </w:rPr>
              <w:t>Proficient – 94% -  Not Proficient - 6%</w:t>
            </w:r>
          </w:p>
          <w:p w14:paraId="7E52450D" w14:textId="50D35A8F" w:rsidR="00A14BB2" w:rsidRPr="00A02A2F" w:rsidRDefault="00A14BB2" w:rsidP="00A14BB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sz w:val="24"/>
                <w:szCs w:val="24"/>
              </w:rPr>
            </w:pPr>
            <w:r w:rsidRPr="00A14BB2">
              <w:rPr>
                <w:rFonts w:cstheme="minorHAnsi"/>
                <w:b/>
                <w:sz w:val="24"/>
                <w:szCs w:val="24"/>
              </w:rPr>
              <w:t>RDG100.MSLO.08:</w:t>
            </w:r>
            <w:r w:rsidR="005B589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5E0283">
              <w:rPr>
                <w:rFonts w:cstheme="minorHAnsi"/>
                <w:bCs/>
                <w:sz w:val="24"/>
                <w:szCs w:val="24"/>
              </w:rPr>
              <w:t xml:space="preserve">Proficient - 86% -  Not Proficient - 14% </w:t>
            </w:r>
          </w:p>
          <w:p w14:paraId="5745EE06" w14:textId="4ED4B4B9" w:rsidR="00A02A2F" w:rsidRDefault="00A02A2F" w:rsidP="00A02A2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125F40C" w14:textId="5F777E66" w:rsidR="00A02A2F" w:rsidRDefault="00A02A2F" w:rsidP="00A02A2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</w:t>
            </w:r>
            <w:r w:rsidR="00EC695A">
              <w:rPr>
                <w:rFonts w:cstheme="minorHAnsi"/>
                <w:b/>
                <w:sz w:val="24"/>
                <w:szCs w:val="24"/>
              </w:rPr>
              <w:t xml:space="preserve">Spring 2021 - </w:t>
            </w:r>
            <w:r>
              <w:rPr>
                <w:rFonts w:cstheme="minorHAnsi"/>
                <w:b/>
                <w:sz w:val="24"/>
                <w:szCs w:val="24"/>
              </w:rPr>
              <w:t xml:space="preserve"> Final (80% Proficiency)</w:t>
            </w:r>
          </w:p>
          <w:p w14:paraId="33DBFF53" w14:textId="77777777" w:rsidR="00A02A2F" w:rsidRPr="003B153C" w:rsidRDefault="00A02A2F" w:rsidP="00A02A2F">
            <w:pPr>
              <w:pStyle w:val="ListParagraph"/>
              <w:rPr>
                <w:rFonts w:cstheme="minorHAnsi"/>
                <w:bCs/>
                <w:sz w:val="24"/>
                <w:szCs w:val="24"/>
              </w:rPr>
            </w:pPr>
            <w:r w:rsidRPr="003B153C">
              <w:rPr>
                <w:rFonts w:cstheme="minorHAnsi"/>
                <w:bCs/>
                <w:sz w:val="24"/>
                <w:szCs w:val="24"/>
              </w:rPr>
              <w:t xml:space="preserve">The following CSLO’s and MSLO’s were assessed in this Critical Reading Assessment. </w:t>
            </w:r>
          </w:p>
          <w:p w14:paraId="19DEEBCC" w14:textId="03D7E01D" w:rsidR="00A02A2F" w:rsidRPr="00EC695A" w:rsidRDefault="00A02A2F" w:rsidP="00EC695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24"/>
                <w:szCs w:val="24"/>
              </w:rPr>
            </w:pPr>
            <w:r w:rsidRPr="00EC695A">
              <w:rPr>
                <w:rFonts w:cstheme="minorHAnsi"/>
                <w:b/>
                <w:sz w:val="24"/>
                <w:szCs w:val="24"/>
              </w:rPr>
              <w:t>CAC.CSLO.02:</w:t>
            </w:r>
            <w:r w:rsidRPr="00EC695A">
              <w:rPr>
                <w:rFonts w:cstheme="minorHAnsi"/>
                <w:bCs/>
                <w:sz w:val="24"/>
                <w:szCs w:val="24"/>
              </w:rPr>
              <w:t xml:space="preserve"> Proficient - 88% -  Not Proficient - 12% </w:t>
            </w:r>
          </w:p>
          <w:p w14:paraId="1808A004" w14:textId="77777777" w:rsidR="00A02A2F" w:rsidRDefault="00A02A2F" w:rsidP="00EC695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24"/>
                <w:szCs w:val="24"/>
              </w:rPr>
            </w:pPr>
            <w:r w:rsidRPr="001A39DB">
              <w:rPr>
                <w:rFonts w:cstheme="minorHAnsi"/>
                <w:b/>
                <w:sz w:val="24"/>
                <w:szCs w:val="24"/>
              </w:rPr>
              <w:t xml:space="preserve">CAC.CSLO.04: </w:t>
            </w:r>
            <w:r>
              <w:rPr>
                <w:rFonts w:cstheme="minorHAnsi"/>
                <w:bCs/>
                <w:sz w:val="24"/>
                <w:szCs w:val="24"/>
              </w:rPr>
              <w:t xml:space="preserve">Proficient - 87% -  Not Proficient - 13% </w:t>
            </w:r>
          </w:p>
          <w:p w14:paraId="1DEF880E" w14:textId="7EF0024C" w:rsidR="00A02A2F" w:rsidRPr="00A14BB2" w:rsidRDefault="00A02A2F" w:rsidP="00EC695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24"/>
                <w:szCs w:val="24"/>
              </w:rPr>
            </w:pPr>
            <w:r w:rsidRPr="00A14BB2">
              <w:rPr>
                <w:rFonts w:cstheme="minorHAnsi"/>
                <w:b/>
                <w:sz w:val="24"/>
                <w:szCs w:val="24"/>
              </w:rPr>
              <w:t xml:space="preserve">RDG100.MSLO.02: </w:t>
            </w:r>
            <w:r>
              <w:rPr>
                <w:rFonts w:cstheme="minorHAnsi"/>
                <w:bCs/>
                <w:sz w:val="24"/>
                <w:szCs w:val="24"/>
              </w:rPr>
              <w:t>Proficient – 83.3% -  Not Proficient – 16.7%</w:t>
            </w:r>
          </w:p>
          <w:p w14:paraId="09434952" w14:textId="3AFAD54B" w:rsidR="00A02A2F" w:rsidRDefault="00A02A2F" w:rsidP="00EC695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24"/>
                <w:szCs w:val="24"/>
              </w:rPr>
            </w:pPr>
            <w:r w:rsidRPr="001A39DB">
              <w:rPr>
                <w:rFonts w:cstheme="minorHAnsi"/>
                <w:b/>
                <w:sz w:val="24"/>
                <w:szCs w:val="24"/>
              </w:rPr>
              <w:t>RDG100.MSLO.07: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t>Proficient – 70.8% -  Not Proficient – 29.2%</w:t>
            </w:r>
          </w:p>
          <w:p w14:paraId="39F7E66D" w14:textId="131DCC7D" w:rsidR="005E0283" w:rsidRPr="00EC695A" w:rsidRDefault="00A02A2F" w:rsidP="005E028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24"/>
                <w:szCs w:val="24"/>
              </w:rPr>
            </w:pPr>
            <w:r w:rsidRPr="00A14BB2">
              <w:rPr>
                <w:rFonts w:cstheme="minorHAnsi"/>
                <w:b/>
                <w:sz w:val="24"/>
                <w:szCs w:val="24"/>
              </w:rPr>
              <w:t>RDG100.MSLO.08: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t xml:space="preserve">Proficient – 83.3%% -  Not Proficient – 16.7% </w:t>
            </w:r>
          </w:p>
          <w:p w14:paraId="793AA555" w14:textId="77777777" w:rsidR="00EC695A" w:rsidRPr="00EC695A" w:rsidRDefault="00EC695A" w:rsidP="00EC695A">
            <w:pPr>
              <w:pStyle w:val="ListParagraph"/>
              <w:ind w:left="1080"/>
              <w:rPr>
                <w:rFonts w:cstheme="minorHAnsi"/>
                <w:b/>
                <w:sz w:val="24"/>
                <w:szCs w:val="24"/>
              </w:rPr>
            </w:pPr>
          </w:p>
          <w:p w14:paraId="765B1CF8" w14:textId="3863453A" w:rsidR="005E0283" w:rsidRPr="004A59E9" w:rsidRDefault="005E0283" w:rsidP="004A59E9">
            <w:pPr>
              <w:pStyle w:val="ListParagraph"/>
              <w:numPr>
                <w:ilvl w:val="0"/>
                <w:numId w:val="8"/>
              </w:numPr>
              <w:ind w:left="960" w:hanging="540"/>
              <w:rPr>
                <w:rFonts w:cstheme="minorHAnsi"/>
                <w:bCs/>
                <w:sz w:val="24"/>
                <w:szCs w:val="24"/>
              </w:rPr>
            </w:pPr>
            <w:r w:rsidRPr="004A59E9">
              <w:rPr>
                <w:rFonts w:cstheme="minorHAnsi"/>
                <w:bCs/>
                <w:sz w:val="24"/>
                <w:szCs w:val="24"/>
              </w:rPr>
              <w:t>All students were proficient in each of the CSLO’s and MSLO’s</w:t>
            </w:r>
            <w:r w:rsidR="00EC695A" w:rsidRPr="004A59E9">
              <w:rPr>
                <w:rFonts w:cstheme="minorHAnsi"/>
                <w:bCs/>
                <w:sz w:val="24"/>
                <w:szCs w:val="24"/>
              </w:rPr>
              <w:t xml:space="preserve"> except for </w:t>
            </w:r>
            <w:r w:rsidR="00EC695A" w:rsidRPr="004A59E9">
              <w:rPr>
                <w:rFonts w:cstheme="minorHAnsi"/>
                <w:sz w:val="24"/>
                <w:szCs w:val="24"/>
              </w:rPr>
              <w:t xml:space="preserve">RDG100.MSLO.07: (Comprehension Level) Identify author's purpose, tone and possible bias.  </w:t>
            </w:r>
          </w:p>
          <w:p w14:paraId="61A19996" w14:textId="5880E930" w:rsidR="0063088D" w:rsidRPr="004A59E9" w:rsidRDefault="008E5456" w:rsidP="004A59E9">
            <w:pPr>
              <w:pStyle w:val="ListParagraph"/>
              <w:numPr>
                <w:ilvl w:val="0"/>
                <w:numId w:val="8"/>
              </w:numPr>
              <w:ind w:left="960" w:hanging="540"/>
              <w:rPr>
                <w:rFonts w:cstheme="minorHAnsi"/>
                <w:bCs/>
                <w:sz w:val="24"/>
                <w:szCs w:val="24"/>
              </w:rPr>
            </w:pPr>
            <w:r w:rsidRPr="004A59E9">
              <w:rPr>
                <w:rFonts w:cstheme="minorHAnsi"/>
                <w:bCs/>
                <w:sz w:val="24"/>
                <w:szCs w:val="24"/>
              </w:rPr>
              <w:t>T</w:t>
            </w:r>
            <w:r w:rsidR="00EC695A" w:rsidRPr="004A59E9">
              <w:rPr>
                <w:rFonts w:cstheme="minorHAnsi"/>
                <w:bCs/>
                <w:sz w:val="24"/>
                <w:szCs w:val="24"/>
              </w:rPr>
              <w:t xml:space="preserve">he Mean Score overall was 9/11 = 82% which was up from 73% in the fall. </w:t>
            </w:r>
            <w:r w:rsidR="00CC2668" w:rsidRPr="004A59E9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5392AAF1" w14:textId="424EC1DA" w:rsidR="00CC2668" w:rsidRDefault="00CC2668" w:rsidP="004A59E9">
            <w:pPr>
              <w:ind w:left="420" w:firstLine="45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(See the attached EAC Summary Report)</w:t>
            </w:r>
          </w:p>
          <w:p w14:paraId="61F9FFDA" w14:textId="77777777" w:rsidR="00E07926" w:rsidRPr="008820B6" w:rsidRDefault="00E07926" w:rsidP="00EC69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07926" w:rsidRPr="008820B6" w14:paraId="5F57EFD7" w14:textId="77777777" w:rsidTr="00711DD4">
        <w:tc>
          <w:tcPr>
            <w:tcW w:w="9350" w:type="dxa"/>
          </w:tcPr>
          <w:p w14:paraId="00933CE3" w14:textId="2576558C" w:rsidR="00E07926" w:rsidRDefault="00E07926" w:rsidP="00711DD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</w:t>
            </w:r>
            <w:r w:rsidRPr="00941DC5">
              <w:rPr>
                <w:rFonts w:cstheme="minorHAnsi"/>
                <w:b/>
                <w:sz w:val="24"/>
                <w:szCs w:val="24"/>
              </w:rPr>
              <w:t>. What changes/improvements were made</w:t>
            </w:r>
            <w:r w:rsidR="00A03040">
              <w:rPr>
                <w:rFonts w:cstheme="minorHAnsi"/>
                <w:b/>
                <w:sz w:val="24"/>
                <w:szCs w:val="24"/>
              </w:rPr>
              <w:t xml:space="preserve"> or will be made</w:t>
            </w:r>
            <w:r w:rsidRPr="00941DC5">
              <w:rPr>
                <w:rFonts w:cstheme="minorHAnsi"/>
                <w:b/>
                <w:sz w:val="24"/>
                <w:szCs w:val="24"/>
              </w:rPr>
              <w:t xml:space="preserve"> in response to the outcomes</w:t>
            </w:r>
            <w:r w:rsidR="007016DA">
              <w:rPr>
                <w:rFonts w:cstheme="minorHAnsi"/>
                <w:b/>
                <w:sz w:val="24"/>
                <w:szCs w:val="24"/>
              </w:rPr>
              <w:t xml:space="preserve"> of the assessment process</w:t>
            </w:r>
            <w:r w:rsidRPr="00941DC5">
              <w:rPr>
                <w:rFonts w:cstheme="minorHAnsi"/>
                <w:b/>
                <w:sz w:val="24"/>
                <w:szCs w:val="24"/>
              </w:rPr>
              <w:t>?</w:t>
            </w:r>
            <w:r w:rsidR="00CC2668">
              <w:rPr>
                <w:rFonts w:cstheme="minorHAnsi"/>
                <w:b/>
                <w:sz w:val="24"/>
                <w:szCs w:val="24"/>
              </w:rPr>
              <w:t xml:space="preserve">  </w:t>
            </w:r>
          </w:p>
          <w:p w14:paraId="3B62AC8D" w14:textId="241DA93F" w:rsidR="0063088D" w:rsidRPr="004A59E9" w:rsidRDefault="00EC695A" w:rsidP="00711DD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 August, the Reading Department will discuss adding additional ins</w:t>
            </w:r>
            <w:r w:rsidR="004A59E9">
              <w:rPr>
                <w:rFonts w:cstheme="minorHAnsi"/>
                <w:sz w:val="24"/>
                <w:szCs w:val="24"/>
              </w:rPr>
              <w:t xml:space="preserve">truction and/or assignments to </w:t>
            </w:r>
            <w:r w:rsidR="004A59E9" w:rsidRPr="00A02A2F">
              <w:rPr>
                <w:rFonts w:cstheme="minorHAnsi"/>
                <w:sz w:val="24"/>
                <w:szCs w:val="24"/>
              </w:rPr>
              <w:t>Identify author's purpose, tone and possible bias</w:t>
            </w:r>
            <w:r w:rsidR="00784F4C">
              <w:rPr>
                <w:rFonts w:cstheme="minorHAnsi"/>
                <w:sz w:val="24"/>
                <w:szCs w:val="24"/>
              </w:rPr>
              <w:t>.</w:t>
            </w:r>
          </w:p>
          <w:p w14:paraId="18F61FE6" w14:textId="555C7937" w:rsidR="004A59E9" w:rsidRPr="00E16035" w:rsidRDefault="004A59E9" w:rsidP="00711DD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assessment will not have to be revised since the scores accurately reflected student learning. </w:t>
            </w:r>
          </w:p>
          <w:p w14:paraId="0D9D1C6B" w14:textId="77777777" w:rsidR="00E07926" w:rsidRPr="008820B6" w:rsidRDefault="00E07926" w:rsidP="00711DD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B98E312" w14:textId="7DEABCA7" w:rsidR="003868CD" w:rsidRDefault="003868CD" w:rsidP="00E07926">
      <w:pPr>
        <w:rPr>
          <w:rFonts w:ascii="Times New Roman" w:hAnsi="Times New Roman" w:cs="Times New Roman"/>
          <w:i/>
          <w:sz w:val="24"/>
          <w:szCs w:val="24"/>
        </w:rPr>
      </w:pPr>
    </w:p>
    <w:p w14:paraId="083EA651" w14:textId="58ED440D" w:rsidR="004A59E9" w:rsidRDefault="004A59E9" w:rsidP="004A59E9">
      <w:pPr>
        <w:pStyle w:val="Heading2"/>
        <w:jc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Critical Reading Assessment EAC Report – RDG 100</w:t>
      </w:r>
    </w:p>
    <w:p w14:paraId="667F3383" w14:textId="77777777" w:rsidR="004A59E9" w:rsidRPr="004A59E9" w:rsidRDefault="004A59E9" w:rsidP="004A59E9">
      <w:pPr>
        <w:pStyle w:val="NormalWeb"/>
        <w:jc w:val="center"/>
        <w:rPr>
          <w:rFonts w:ascii="Calibri" w:hAnsi="Calibri" w:cs="Calibri"/>
          <w:b/>
        </w:rPr>
      </w:pPr>
      <w:r w:rsidRPr="004A59E9">
        <w:rPr>
          <w:rFonts w:ascii="Calibri" w:hAnsi="Calibri" w:cs="Calibri"/>
          <w:b/>
        </w:rPr>
        <w:lastRenderedPageBreak/>
        <w:t>4/18/2021 - 5/9/2021</w:t>
      </w:r>
    </w:p>
    <w:p w14:paraId="38E80A5F" w14:textId="77777777" w:rsidR="004A59E9" w:rsidRDefault="004A59E9" w:rsidP="004A59E9">
      <w:pPr>
        <w:pStyle w:val="NormalWeb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Test instruments differed among students. While statistics remain directionally useful, interpret them with caution.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00" w:type="dxa"/>
          <w:bottom w:w="15" w:type="dxa"/>
          <w:right w:w="100" w:type="dxa"/>
        </w:tblCellMar>
        <w:tblLook w:val="04A0" w:firstRow="1" w:lastRow="0" w:firstColumn="1" w:lastColumn="0" w:noHBand="0" w:noVBand="1"/>
      </w:tblPr>
      <w:tblGrid>
        <w:gridCol w:w="4158"/>
        <w:gridCol w:w="1904"/>
        <w:gridCol w:w="1214"/>
        <w:gridCol w:w="1164"/>
        <w:gridCol w:w="904"/>
      </w:tblGrid>
      <w:tr w:rsidR="004A59E9" w14:paraId="6D0383A6" w14:textId="77777777" w:rsidTr="0002202B">
        <w:trPr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CEFF"/>
            <w:vAlign w:val="center"/>
            <w:hideMark/>
          </w:tcPr>
          <w:p w14:paraId="38E2B9ED" w14:textId="77777777" w:rsidR="004A59E9" w:rsidRDefault="004A59E9" w:rsidP="0002202B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Courses Included</w:t>
            </w:r>
          </w:p>
        </w:tc>
      </w:tr>
      <w:tr w:rsidR="004A59E9" w14:paraId="4B6A6949" w14:textId="77777777" w:rsidTr="0002202B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E6D3E" w14:textId="77777777" w:rsidR="004A59E9" w:rsidRDefault="004A59E9" w:rsidP="0002202B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Course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1B9C5" w14:textId="77777777" w:rsidR="004A59E9" w:rsidRDefault="004A59E9" w:rsidP="0002202B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Instructors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070A9" w14:textId="77777777" w:rsidR="004A59E9" w:rsidRDefault="004A59E9" w:rsidP="0002202B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Enrollment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F0924" w14:textId="77777777" w:rsidR="004A59E9" w:rsidRDefault="004A59E9" w:rsidP="0002202B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Responses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EA3B1" w14:textId="77777777" w:rsidR="004A59E9" w:rsidRDefault="004A59E9" w:rsidP="0002202B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Percent</w:t>
            </w:r>
          </w:p>
        </w:tc>
      </w:tr>
      <w:tr w:rsidR="004A59E9" w14:paraId="1C248C1B" w14:textId="77777777" w:rsidTr="000220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5E0E6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RDG10017 - College Reading (Spring 2021, ONL Online) (21SP-RDG100-Teel)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1A70E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Kieser, Mary; Teel, Skyla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29335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65144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85EAB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69</w:t>
            </w:r>
          </w:p>
        </w:tc>
      </w:tr>
      <w:tr w:rsidR="004A59E9" w14:paraId="55FAE819" w14:textId="77777777" w:rsidTr="000220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FB450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RDG10017 - College Reading (Spring 2021, Section 21SP3634, ONL Online) (21SP3634)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525FE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Kieser, Mary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F85AB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7EFD4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8517D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75</w:t>
            </w:r>
          </w:p>
        </w:tc>
      </w:tr>
      <w:tr w:rsidR="004A59E9" w14:paraId="63260A54" w14:textId="77777777" w:rsidTr="000220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6F00F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RDG10017 - College Reading (Spring 2021, Section 21SP3617, ONL Online) (21SP3617)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43548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Kieser, Mary; Hanson, Alyson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CF015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3492B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AD40E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41</w:t>
            </w:r>
          </w:p>
        </w:tc>
      </w:tr>
    </w:tbl>
    <w:p w14:paraId="45673246" w14:textId="77777777" w:rsidR="004A59E9" w:rsidRDefault="004A59E9" w:rsidP="004A59E9">
      <w:pPr>
        <w:rPr>
          <w:rFonts w:ascii="Calibri" w:hAnsi="Calibri" w:cs="Calibri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00" w:type="dxa"/>
          <w:bottom w:w="15" w:type="dxa"/>
          <w:right w:w="100" w:type="dxa"/>
        </w:tblCellMar>
        <w:tblLook w:val="04A0" w:firstRow="1" w:lastRow="0" w:firstColumn="1" w:lastColumn="0" w:noHBand="0" w:noVBand="1"/>
      </w:tblPr>
      <w:tblGrid>
        <w:gridCol w:w="3552"/>
        <w:gridCol w:w="3307"/>
        <w:gridCol w:w="2485"/>
      </w:tblGrid>
      <w:tr w:rsidR="004A59E9" w14:paraId="66605ABE" w14:textId="77777777" w:rsidTr="0002202B">
        <w:trPr>
          <w:tblHeader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CEFF"/>
            <w:vAlign w:val="center"/>
            <w:hideMark/>
          </w:tcPr>
          <w:p w14:paraId="230087A4" w14:textId="77777777" w:rsidR="004A59E9" w:rsidRDefault="004A59E9" w:rsidP="0002202B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Summary Statistics</w:t>
            </w:r>
          </w:p>
        </w:tc>
      </w:tr>
      <w:tr w:rsidR="004A59E9" w14:paraId="0F9C84EF" w14:textId="77777777" w:rsidTr="0002202B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625C2" w14:textId="77777777" w:rsidR="004A59E9" w:rsidRDefault="004A59E9" w:rsidP="0002202B">
            <w:pPr>
              <w:pStyle w:val="Normal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Scored Responses</w:t>
            </w:r>
            <w:r>
              <w:rPr>
                <w:rFonts w:ascii="Calibri" w:hAnsi="Calibri" w:cs="Calibri"/>
              </w:rPr>
              <w:ptab w:relativeTo="margin" w:alignment="right" w:leader="none"/>
            </w: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34B2F" w14:textId="77777777" w:rsidR="004A59E9" w:rsidRDefault="004A59E9" w:rsidP="0002202B">
            <w:pPr>
              <w:pStyle w:val="Normal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Actual Item Scores</w:t>
            </w:r>
            <w:r>
              <w:rPr>
                <w:rFonts w:ascii="Calibri" w:hAnsi="Calibri" w:cs="Calibri"/>
              </w:rPr>
              <w:ptab w:relativeTo="margin" w:alignment="right" w:leader="none"/>
            </w: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81D65" w14:textId="77777777" w:rsidR="004A59E9" w:rsidRDefault="004A59E9" w:rsidP="0002202B">
            <w:pPr>
              <w:pStyle w:val="Normal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Mean Score</w:t>
            </w:r>
            <w:r>
              <w:rPr>
                <w:rFonts w:ascii="Calibri" w:hAnsi="Calibri" w:cs="Calibri"/>
              </w:rPr>
              <w:ptab w:relativeTo="margin" w:alignment="right" w:leader="none"/>
            </w:r>
            <w:r>
              <w:rPr>
                <w:rFonts w:ascii="Calibri" w:hAnsi="Calibri" w:cs="Calibri"/>
              </w:rPr>
              <w:t>8.75</w:t>
            </w:r>
          </w:p>
        </w:tc>
      </w:tr>
      <w:tr w:rsidR="004A59E9" w14:paraId="58D066DB" w14:textId="77777777" w:rsidTr="0002202B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4851E" w14:textId="77777777" w:rsidR="004A59E9" w:rsidRDefault="004A59E9" w:rsidP="0002202B">
            <w:pPr>
              <w:pStyle w:val="NormalWeb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Scorable</w:t>
            </w:r>
            <w:proofErr w:type="spellEnd"/>
            <w:r>
              <w:rPr>
                <w:rFonts w:ascii="Calibri" w:hAnsi="Calibri" w:cs="Calibri"/>
              </w:rPr>
              <w:t xml:space="preserve"> Questions</w:t>
            </w:r>
            <w:r>
              <w:rPr>
                <w:rFonts w:ascii="Calibri" w:hAnsi="Calibri" w:cs="Calibri"/>
              </w:rPr>
              <w:ptab w:relativeTo="margin" w:alignment="right" w:leader="none"/>
            </w: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37D87" w14:textId="77777777" w:rsidR="004A59E9" w:rsidRDefault="004A59E9" w:rsidP="0002202B">
            <w:pPr>
              <w:pStyle w:val="Normal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Highest Score</w:t>
            </w:r>
            <w:r>
              <w:rPr>
                <w:rFonts w:ascii="Calibri" w:hAnsi="Calibri" w:cs="Calibri"/>
              </w:rPr>
              <w:ptab w:relativeTo="margin" w:alignment="right" w:leader="none"/>
            </w: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395A3" w14:textId="77777777" w:rsidR="004A59E9" w:rsidRDefault="004A59E9" w:rsidP="0002202B">
            <w:pPr>
              <w:pStyle w:val="Normal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Median Score</w:t>
            </w:r>
            <w:r>
              <w:rPr>
                <w:rFonts w:ascii="Calibri" w:hAnsi="Calibri" w:cs="Calibri"/>
              </w:rPr>
              <w:ptab w:relativeTo="margin" w:alignment="right" w:leader="none"/>
            </w:r>
            <w:r>
              <w:rPr>
                <w:rFonts w:ascii="Calibri" w:hAnsi="Calibri" w:cs="Calibri"/>
              </w:rPr>
              <w:t>9</w:t>
            </w:r>
          </w:p>
        </w:tc>
      </w:tr>
      <w:tr w:rsidR="004A59E9" w14:paraId="6B096E39" w14:textId="77777777" w:rsidTr="0002202B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6B4D4" w14:textId="77777777" w:rsidR="004A59E9" w:rsidRDefault="004A59E9" w:rsidP="0002202B">
            <w:pPr>
              <w:pStyle w:val="Normal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Possible Item Scores</w:t>
            </w:r>
            <w:r>
              <w:rPr>
                <w:rFonts w:ascii="Calibri" w:hAnsi="Calibri" w:cs="Calibri"/>
              </w:rPr>
              <w:ptab w:relativeTo="margin" w:alignment="right" w:leader="none"/>
            </w: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3F79D" w14:textId="77777777" w:rsidR="004A59E9" w:rsidRDefault="004A59E9" w:rsidP="0002202B">
            <w:pPr>
              <w:pStyle w:val="Normal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Lowest Score</w:t>
            </w:r>
            <w:r>
              <w:rPr>
                <w:rFonts w:ascii="Calibri" w:hAnsi="Calibri" w:cs="Calibri"/>
              </w:rPr>
              <w:ptab w:relativeTo="margin" w:alignment="right" w:leader="none"/>
            </w:r>
            <w:r>
              <w:rPr>
                <w:rFonts w:ascii="Calibri" w:hAnsi="Calibri" w:cs="Calibri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F30A2" w14:textId="77777777" w:rsidR="004A59E9" w:rsidRDefault="004A59E9" w:rsidP="0002202B">
            <w:pPr>
              <w:pStyle w:val="NormalWeb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Std</w:t>
            </w:r>
            <w:proofErr w:type="spellEnd"/>
            <w:r>
              <w:rPr>
                <w:rFonts w:ascii="Calibri" w:hAnsi="Calibri" w:cs="Calibri"/>
              </w:rPr>
              <w:t xml:space="preserve"> Dev</w:t>
            </w:r>
            <w:r>
              <w:rPr>
                <w:rFonts w:ascii="Calibri" w:hAnsi="Calibri" w:cs="Calibri"/>
              </w:rPr>
              <w:ptab w:relativeTo="margin" w:alignment="right" w:leader="none"/>
            </w:r>
            <w:r>
              <w:rPr>
                <w:rFonts w:ascii="Calibri" w:hAnsi="Calibri" w:cs="Calibri"/>
              </w:rPr>
              <w:t>1.86</w:t>
            </w:r>
          </w:p>
        </w:tc>
      </w:tr>
      <w:tr w:rsidR="004A59E9" w14:paraId="072FF988" w14:textId="77777777" w:rsidTr="0002202B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  <w:vAlign w:val="center"/>
            <w:hideMark/>
          </w:tcPr>
          <w:p w14:paraId="63D66376" w14:textId="77777777" w:rsidR="004A59E9" w:rsidRDefault="004A59E9" w:rsidP="0002202B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28F4B" w14:textId="77777777" w:rsidR="004A59E9" w:rsidRDefault="004A59E9" w:rsidP="0002202B">
            <w:pPr>
              <w:pStyle w:val="Normal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KR(20) / Cronbach Alpha</w:t>
            </w:r>
            <w:r>
              <w:rPr>
                <w:rFonts w:ascii="Calibri" w:hAnsi="Calibri" w:cs="Calibri"/>
              </w:rPr>
              <w:ptab w:relativeTo="margin" w:alignment="right" w:leader="none"/>
            </w:r>
            <w:r>
              <w:rPr>
                <w:rFonts w:ascii="Calibri" w:hAnsi="Calibri" w:cs="Calibri"/>
              </w:rPr>
              <w:t>NA</w:t>
            </w:r>
          </w:p>
        </w:tc>
      </w:tr>
    </w:tbl>
    <w:p w14:paraId="56847C3E" w14:textId="77777777" w:rsidR="004A59E9" w:rsidRDefault="004A59E9" w:rsidP="004A59E9">
      <w:pPr>
        <w:rPr>
          <w:rFonts w:ascii="Calibri" w:hAnsi="Calibri" w:cs="Calibri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00" w:type="dxa"/>
          <w:bottom w:w="15" w:type="dxa"/>
          <w:right w:w="100" w:type="dxa"/>
        </w:tblCellMar>
        <w:tblLook w:val="04A0" w:firstRow="1" w:lastRow="0" w:firstColumn="1" w:lastColumn="0" w:noHBand="0" w:noVBand="1"/>
      </w:tblPr>
      <w:tblGrid>
        <w:gridCol w:w="522"/>
        <w:gridCol w:w="605"/>
        <w:gridCol w:w="4486"/>
        <w:gridCol w:w="790"/>
        <w:gridCol w:w="1070"/>
        <w:gridCol w:w="1199"/>
        <w:gridCol w:w="672"/>
      </w:tblGrid>
      <w:tr w:rsidR="004A59E9" w14:paraId="013F6139" w14:textId="77777777" w:rsidTr="0002202B">
        <w:trPr>
          <w:tblHeader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CEFF"/>
            <w:vAlign w:val="center"/>
            <w:hideMark/>
          </w:tcPr>
          <w:p w14:paraId="339F4C50" w14:textId="77777777" w:rsidR="004A59E9" w:rsidRDefault="004A59E9" w:rsidP="0002202B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Item Analysis</w:t>
            </w:r>
          </w:p>
        </w:tc>
      </w:tr>
      <w:tr w:rsidR="004A59E9" w14:paraId="12133A52" w14:textId="77777777" w:rsidTr="0002202B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1781C" w14:textId="77777777" w:rsidR="004A59E9" w:rsidRDefault="004A59E9" w:rsidP="0002202B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No.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9B10D" w14:textId="77777777" w:rsidR="004A59E9" w:rsidRDefault="004A59E9" w:rsidP="0002202B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Title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A0DDF" w14:textId="77777777" w:rsidR="004A59E9" w:rsidRDefault="004A59E9" w:rsidP="0002202B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Question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30F2A" w14:textId="77777777" w:rsidR="004A59E9" w:rsidRDefault="004A59E9" w:rsidP="0002202B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P-Value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96824" w14:textId="77777777" w:rsidR="004A59E9" w:rsidRDefault="004A59E9" w:rsidP="0002202B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Point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</w:rPr>
              <w:t>Biserial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D1B86" w14:textId="77777777" w:rsidR="004A59E9" w:rsidRDefault="004A59E9" w:rsidP="0002202B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Cronbach Del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5B37B" w14:textId="77777777" w:rsidR="004A59E9" w:rsidRDefault="004A59E9" w:rsidP="0002202B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DI (27)</w:t>
            </w:r>
          </w:p>
        </w:tc>
      </w:tr>
      <w:tr w:rsidR="004A59E9" w14:paraId="082CCEEA" w14:textId="77777777" w:rsidTr="000220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11DF4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6DC07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3CFD5" w14:textId="77777777" w:rsidR="004A59E9" w:rsidRDefault="004A59E9" w:rsidP="0002202B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What is the tone of the article? Choose the two that are the best fit.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90FAC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0.83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B0589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0409F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BE42A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0.5</w:t>
            </w:r>
          </w:p>
        </w:tc>
      </w:tr>
      <w:tr w:rsidR="004A59E9" w14:paraId="10E424F9" w14:textId="77777777" w:rsidTr="000220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AAE91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7B60F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03EEE" w14:textId="77777777" w:rsidR="004A59E9" w:rsidRDefault="004A59E9" w:rsidP="0002202B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Match the following statements to the type of support that it is.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B165D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5C8D2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614BB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607BF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0.67</w:t>
            </w:r>
          </w:p>
        </w:tc>
      </w:tr>
      <w:tr w:rsidR="004A59E9" w14:paraId="0C6179ED" w14:textId="77777777" w:rsidTr="000220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B1E3B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372A1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18958" w14:textId="77777777" w:rsidR="004A59E9" w:rsidRDefault="004A59E9" w:rsidP="0002202B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What is the issue (point of the argument)?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EBC61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D8CB0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0.58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AFF4D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0EBC4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0.17</w:t>
            </w:r>
          </w:p>
        </w:tc>
      </w:tr>
      <w:tr w:rsidR="004A59E9" w14:paraId="01F320D2" w14:textId="77777777" w:rsidTr="000220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F23A9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7C477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8DA4D" w14:textId="77777777" w:rsidR="004A59E9" w:rsidRDefault="004A59E9" w:rsidP="0002202B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The first major supporting details 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BAA58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2BADF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0.77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7F31A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5EA1C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0.17</w:t>
            </w:r>
          </w:p>
        </w:tc>
      </w:tr>
      <w:tr w:rsidR="004A59E9" w14:paraId="3ABD5696" w14:textId="77777777" w:rsidTr="000220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EDA4C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996C9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A938F" w14:textId="77777777" w:rsidR="004A59E9" w:rsidRDefault="004A59E9" w:rsidP="0002202B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The second major supporting detail 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B9637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E777A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0.76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A3F58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CB30B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0.5</w:t>
            </w:r>
          </w:p>
        </w:tc>
      </w:tr>
      <w:tr w:rsidR="004A59E9" w14:paraId="3BC7D47E" w14:textId="77777777" w:rsidTr="000220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F7BB5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97F9B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147A2" w14:textId="77777777" w:rsidR="004A59E9" w:rsidRDefault="004A59E9" w:rsidP="0002202B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What is the author’s purpose for writing the article?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5E206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CE7A8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0.77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FEC07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E93C6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0.17</w:t>
            </w:r>
          </w:p>
        </w:tc>
      </w:tr>
      <w:tr w:rsidR="004A59E9" w14:paraId="4323BA9F" w14:textId="77777777" w:rsidTr="000220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FBD23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7DFF9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841D3" w14:textId="77777777" w:rsidR="004A59E9" w:rsidRDefault="004A59E9" w:rsidP="0002202B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What is the authority (credentials) of the author?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22AD8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28F96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0.77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B55B8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440B8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0.17</w:t>
            </w:r>
          </w:p>
        </w:tc>
      </w:tr>
      <w:tr w:rsidR="004A59E9" w14:paraId="2016B6FA" w14:textId="77777777" w:rsidTr="000220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B2F31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E44F1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798BB" w14:textId="77777777" w:rsidR="004A59E9" w:rsidRDefault="004A59E9" w:rsidP="0002202B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Which of the following is relevant support for the author's argument that boxing should be banned?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B2D33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0.92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1F3B1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E9202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44639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0.33</w:t>
            </w:r>
          </w:p>
        </w:tc>
      </w:tr>
      <w:tr w:rsidR="004A59E9" w14:paraId="7F2CF8DE" w14:textId="77777777" w:rsidTr="000220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64620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D0108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D6DB8" w14:textId="77777777" w:rsidR="004A59E9" w:rsidRDefault="004A59E9" w:rsidP="0002202B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What information could the author have included to make his argument stronger?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6EF35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3830B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-0.02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71F13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01330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</w:t>
            </w:r>
          </w:p>
        </w:tc>
      </w:tr>
      <w:tr w:rsidR="004A59E9" w14:paraId="4E89A3DF" w14:textId="77777777" w:rsidTr="000220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45415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A9825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BC0A6" w14:textId="77777777" w:rsidR="004A59E9" w:rsidRDefault="004A59E9" w:rsidP="0002202B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What would someone who opposes the author's position argue about the issue?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A67DD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0.83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F4EAC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0.49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9D79A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114DA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0.5</w:t>
            </w:r>
          </w:p>
        </w:tc>
      </w:tr>
      <w:tr w:rsidR="004A59E9" w14:paraId="5B758F5C" w14:textId="77777777" w:rsidTr="000220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07017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8E02C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CCC34" w14:textId="77777777" w:rsidR="004A59E9" w:rsidRDefault="004A59E9" w:rsidP="0002202B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Match the following statements to the type of support that it is.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2C706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0.77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A0CBD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7AD83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86849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0.17</w:t>
            </w:r>
          </w:p>
        </w:tc>
      </w:tr>
    </w:tbl>
    <w:p w14:paraId="4809AA44" w14:textId="77777777" w:rsidR="004A59E9" w:rsidRDefault="004A59E9" w:rsidP="004A59E9">
      <w:pPr>
        <w:rPr>
          <w:rFonts w:ascii="Calibri" w:hAnsi="Calibri" w:cs="Calibri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00" w:type="dxa"/>
          <w:bottom w:w="15" w:type="dxa"/>
          <w:right w:w="100" w:type="dxa"/>
        </w:tblCellMar>
        <w:tblLook w:val="04A0" w:firstRow="1" w:lastRow="0" w:firstColumn="1" w:lastColumn="0" w:noHBand="0" w:noVBand="1"/>
      </w:tblPr>
      <w:tblGrid>
        <w:gridCol w:w="464"/>
        <w:gridCol w:w="642"/>
        <w:gridCol w:w="2149"/>
        <w:gridCol w:w="871"/>
        <w:gridCol w:w="659"/>
        <w:gridCol w:w="4559"/>
      </w:tblGrid>
      <w:tr w:rsidR="004A59E9" w14:paraId="67B86F49" w14:textId="77777777" w:rsidTr="0002202B">
        <w:trPr>
          <w:tblHeader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CEFF"/>
            <w:vAlign w:val="center"/>
            <w:hideMark/>
          </w:tcPr>
          <w:p w14:paraId="35D5D77C" w14:textId="77777777" w:rsidR="004A59E9" w:rsidRDefault="004A59E9" w:rsidP="0002202B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Distractors</w:t>
            </w:r>
          </w:p>
        </w:tc>
      </w:tr>
      <w:tr w:rsidR="004A59E9" w14:paraId="0463BE54" w14:textId="77777777" w:rsidTr="0002202B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2290D" w14:textId="77777777" w:rsidR="004A59E9" w:rsidRDefault="004A59E9" w:rsidP="0002202B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D8FEB" w14:textId="77777777" w:rsidR="004A59E9" w:rsidRDefault="004A59E9" w:rsidP="0002202B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Type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70D0D" w14:textId="77777777" w:rsidR="004A59E9" w:rsidRDefault="004A59E9" w:rsidP="0002202B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Question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C8E07" w14:textId="77777777" w:rsidR="004A59E9" w:rsidRDefault="004A59E9" w:rsidP="0002202B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Correct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1885E" w14:textId="77777777" w:rsidR="004A59E9" w:rsidRDefault="004A59E9" w:rsidP="0002202B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</w:rPr>
              <w:t>PtBis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97896" w14:textId="77777777" w:rsidR="004A59E9" w:rsidRDefault="004A59E9" w:rsidP="0002202B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Responses</w:t>
            </w:r>
          </w:p>
        </w:tc>
      </w:tr>
      <w:tr w:rsidR="004A59E9" w14:paraId="3D5D58AA" w14:textId="77777777" w:rsidTr="0002202B"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959F6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CE3C0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MA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9E4C3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What is the tone of the article? Choose the two that are the best fit.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FFAA"/>
            <w:vAlign w:val="center"/>
            <w:hideMark/>
          </w:tcPr>
          <w:p w14:paraId="3159F208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Correct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FFAA"/>
            <w:vAlign w:val="center"/>
            <w:hideMark/>
          </w:tcPr>
          <w:p w14:paraId="62A6EF53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FFAA"/>
            <w:vAlign w:val="center"/>
            <w:hideMark/>
          </w:tcPr>
          <w:p w14:paraId="39383BDD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17 (70.8%) Persuasive::Serious</w:t>
            </w:r>
          </w:p>
        </w:tc>
      </w:tr>
      <w:tr w:rsidR="004A59E9" w14:paraId="4E9B24DF" w14:textId="77777777" w:rsidTr="000220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F4142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75019" w14:textId="77777777" w:rsidR="004A59E9" w:rsidRDefault="004A59E9" w:rsidP="0002202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8C818" w14:textId="77777777" w:rsidR="004A59E9" w:rsidRDefault="004A59E9" w:rsidP="0002202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1019B" w14:textId="77777777" w:rsidR="004A59E9" w:rsidRDefault="004A59E9" w:rsidP="0002202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77CAF" w14:textId="77777777" w:rsidR="004A59E9" w:rsidRDefault="004A59E9" w:rsidP="0002202B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73C8F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 (4.2%) Persuasive</w:t>
            </w:r>
          </w:p>
        </w:tc>
      </w:tr>
      <w:tr w:rsidR="004A59E9" w14:paraId="40BA2572" w14:textId="77777777" w:rsidTr="000220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26092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F878B" w14:textId="77777777" w:rsidR="004A59E9" w:rsidRDefault="004A59E9" w:rsidP="0002202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FDCC7" w14:textId="77777777" w:rsidR="004A59E9" w:rsidRDefault="004A59E9" w:rsidP="0002202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58CBE" w14:textId="77777777" w:rsidR="004A59E9" w:rsidRDefault="004A59E9" w:rsidP="0002202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535AE" w14:textId="77777777" w:rsidR="004A59E9" w:rsidRDefault="004A59E9" w:rsidP="0002202B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93A30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 (4.2%) Serious::Uncertain</w:t>
            </w:r>
          </w:p>
        </w:tc>
      </w:tr>
      <w:tr w:rsidR="004A59E9" w14:paraId="106A1DDA" w14:textId="77777777" w:rsidTr="000220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B505E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70AB4" w14:textId="77777777" w:rsidR="004A59E9" w:rsidRDefault="004A59E9" w:rsidP="0002202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26C16" w14:textId="77777777" w:rsidR="004A59E9" w:rsidRDefault="004A59E9" w:rsidP="0002202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979E3" w14:textId="77777777" w:rsidR="004A59E9" w:rsidRDefault="004A59E9" w:rsidP="0002202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5B08A" w14:textId="77777777" w:rsidR="004A59E9" w:rsidRDefault="004A59E9" w:rsidP="0002202B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26503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 (4.2%) Serious::Sentimental</w:t>
            </w:r>
          </w:p>
        </w:tc>
      </w:tr>
      <w:tr w:rsidR="004A59E9" w14:paraId="6514352B" w14:textId="77777777" w:rsidTr="000220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7EE0A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3D82B" w14:textId="77777777" w:rsidR="004A59E9" w:rsidRDefault="004A59E9" w:rsidP="0002202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897A0" w14:textId="77777777" w:rsidR="004A59E9" w:rsidRDefault="004A59E9" w:rsidP="0002202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DC332" w14:textId="77777777" w:rsidR="004A59E9" w:rsidRDefault="004A59E9" w:rsidP="0002202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6287B" w14:textId="77777777" w:rsidR="004A59E9" w:rsidRDefault="004A59E9" w:rsidP="0002202B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BF649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 (4.2%) Persuasive::Sentimental</w:t>
            </w:r>
          </w:p>
        </w:tc>
      </w:tr>
      <w:tr w:rsidR="004A59E9" w14:paraId="6A8462CD" w14:textId="77777777" w:rsidTr="000220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8ACFA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0E46A" w14:textId="77777777" w:rsidR="004A59E9" w:rsidRDefault="004A59E9" w:rsidP="0002202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77812" w14:textId="77777777" w:rsidR="004A59E9" w:rsidRDefault="004A59E9" w:rsidP="0002202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621E9" w14:textId="77777777" w:rsidR="004A59E9" w:rsidRDefault="004A59E9" w:rsidP="0002202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F932D" w14:textId="77777777" w:rsidR="004A59E9" w:rsidRDefault="004A59E9" w:rsidP="0002202B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E13A4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 (12.5%) Other responses</w:t>
            </w:r>
          </w:p>
        </w:tc>
      </w:tr>
      <w:tr w:rsidR="004A59E9" w14:paraId="1B06F811" w14:textId="77777777" w:rsidTr="0002202B"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F45B6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23EE4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MAT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3A0B2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Match the following statements to the </w:t>
            </w:r>
            <w:r>
              <w:rPr>
                <w:rFonts w:ascii="Calibri" w:eastAsia="Times New Roman" w:hAnsi="Calibri" w:cs="Calibri"/>
              </w:rPr>
              <w:lastRenderedPageBreak/>
              <w:t>type of support that it is.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FFAA"/>
            <w:vAlign w:val="center"/>
            <w:hideMark/>
          </w:tcPr>
          <w:p w14:paraId="17D8ADD9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lastRenderedPageBreak/>
              <w:t>Correct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FFAA"/>
            <w:vAlign w:val="center"/>
            <w:hideMark/>
          </w:tcPr>
          <w:p w14:paraId="6E9227DC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FFAA"/>
            <w:vAlign w:val="center"/>
            <w:hideMark/>
          </w:tcPr>
          <w:p w14:paraId="78100E71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4 (36.4%) Boxing is the only sport where the sole object is to injure the </w:t>
            </w:r>
            <w:r>
              <w:rPr>
                <w:rFonts w:ascii="Calibri" w:eastAsia="Times New Roman" w:hAnsi="Calibri" w:cs="Calibri"/>
              </w:rPr>
              <w:lastRenderedPageBreak/>
              <w:t>opponent. </w:t>
            </w:r>
            <w:proofErr w:type="gramStart"/>
            <w:r>
              <w:rPr>
                <w:rFonts w:ascii="Calibri" w:eastAsia="Times New Roman" w:hAnsi="Calibri" w:cs="Calibri"/>
              </w:rPr>
              <w:t>::</w:t>
            </w:r>
            <w:proofErr w:type="gramEnd"/>
            <w:r>
              <w:rPr>
                <w:rFonts w:ascii="Calibri" w:eastAsia="Times New Roman" w:hAnsi="Calibri" w:cs="Calibri"/>
              </w:rPr>
              <w:t>generality**Boxing in morally offensive because its intent is to is to inflict brain injuries on another person::opinion**Medical science can't take someone who has suffered repeated blows to the head and restore that person to normal function. ::fact</w:t>
            </w:r>
          </w:p>
        </w:tc>
      </w:tr>
      <w:tr w:rsidR="004A59E9" w14:paraId="3332372A" w14:textId="77777777" w:rsidTr="000220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7771E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1BD07" w14:textId="77777777" w:rsidR="004A59E9" w:rsidRDefault="004A59E9" w:rsidP="0002202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D6439" w14:textId="77777777" w:rsidR="004A59E9" w:rsidRDefault="004A59E9" w:rsidP="0002202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ABEC4" w14:textId="77777777" w:rsidR="004A59E9" w:rsidRDefault="004A59E9" w:rsidP="0002202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539CC" w14:textId="77777777" w:rsidR="004A59E9" w:rsidRDefault="004A59E9" w:rsidP="0002202B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723B9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 (36.4%) Boxing is the only sport where the sole object is to injure the opponent. </w:t>
            </w:r>
            <w:proofErr w:type="gramStart"/>
            <w:r>
              <w:rPr>
                <w:rFonts w:ascii="Calibri" w:eastAsia="Times New Roman" w:hAnsi="Calibri" w:cs="Calibri"/>
              </w:rPr>
              <w:t>::</w:t>
            </w:r>
            <w:proofErr w:type="gramEnd"/>
            <w:r>
              <w:rPr>
                <w:rFonts w:ascii="Calibri" w:eastAsia="Times New Roman" w:hAnsi="Calibri" w:cs="Calibri"/>
              </w:rPr>
              <w:t>fact**Boxing in morally offensive because its intent is to is to inflict brain injuries on another person::opinion**Medical science can't take someone who has suffered repeated blows to the head and restore that person to normal function. ::generality</w:t>
            </w:r>
          </w:p>
        </w:tc>
      </w:tr>
      <w:tr w:rsidR="004A59E9" w14:paraId="0EC225AA" w14:textId="77777777" w:rsidTr="000220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B20A0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F4FDA" w14:textId="77777777" w:rsidR="004A59E9" w:rsidRDefault="004A59E9" w:rsidP="0002202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71ABC" w14:textId="77777777" w:rsidR="004A59E9" w:rsidRDefault="004A59E9" w:rsidP="0002202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99583" w14:textId="77777777" w:rsidR="004A59E9" w:rsidRDefault="004A59E9" w:rsidP="0002202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975C4" w14:textId="77777777" w:rsidR="004A59E9" w:rsidRDefault="004A59E9" w:rsidP="0002202B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7BC5D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 (18.2%) Boxing is the only sport where the sole object is to injure the opponent. </w:t>
            </w:r>
            <w:proofErr w:type="gramStart"/>
            <w:r>
              <w:rPr>
                <w:rFonts w:ascii="Calibri" w:eastAsia="Times New Roman" w:hAnsi="Calibri" w:cs="Calibri"/>
              </w:rPr>
              <w:t>::</w:t>
            </w:r>
            <w:proofErr w:type="gramEnd"/>
            <w:r>
              <w:rPr>
                <w:rFonts w:ascii="Calibri" w:eastAsia="Times New Roman" w:hAnsi="Calibri" w:cs="Calibri"/>
              </w:rPr>
              <w:t>fact**Boxing in morally offensive because its intent is to is to inflict brain injuries on another person::opinion**Medical science can't take someone who has suffered repeated blows to the head and restore that person to normal function. ::fact</w:t>
            </w:r>
          </w:p>
        </w:tc>
      </w:tr>
      <w:tr w:rsidR="004A59E9" w14:paraId="23A2E114" w14:textId="77777777" w:rsidTr="000220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B911F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B2C1A" w14:textId="77777777" w:rsidR="004A59E9" w:rsidRDefault="004A59E9" w:rsidP="0002202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7B31E" w14:textId="77777777" w:rsidR="004A59E9" w:rsidRDefault="004A59E9" w:rsidP="0002202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F5F4A" w14:textId="77777777" w:rsidR="004A59E9" w:rsidRDefault="004A59E9" w:rsidP="0002202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7681B" w14:textId="77777777" w:rsidR="004A59E9" w:rsidRDefault="004A59E9" w:rsidP="0002202B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1C5EC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 (9.1%) Boxing is the only sport where the sole object is to injure the opponent. </w:t>
            </w:r>
            <w:proofErr w:type="gramStart"/>
            <w:r>
              <w:rPr>
                <w:rFonts w:ascii="Calibri" w:eastAsia="Times New Roman" w:hAnsi="Calibri" w:cs="Calibri"/>
              </w:rPr>
              <w:t>::</w:t>
            </w:r>
            <w:proofErr w:type="gramEnd"/>
            <w:r>
              <w:rPr>
                <w:rFonts w:ascii="Calibri" w:eastAsia="Times New Roman" w:hAnsi="Calibri" w:cs="Calibri"/>
              </w:rPr>
              <w:t>generality**Boxing in morally offensive because its intent is to is to inflict brain injuries on another person::fact**Medical science can't take someone who has suffered repeated blows to the head and restore that person to normal function. ::fact</w:t>
            </w:r>
          </w:p>
        </w:tc>
      </w:tr>
      <w:tr w:rsidR="004A59E9" w14:paraId="2DDF60A1" w14:textId="77777777" w:rsidTr="0002202B"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176EF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C9147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MC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E448E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What is the issue (point of the argument)?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FFAA"/>
            <w:vAlign w:val="center"/>
            <w:hideMark/>
          </w:tcPr>
          <w:p w14:paraId="58D8EDC7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Correct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FFAA"/>
            <w:vAlign w:val="center"/>
            <w:hideMark/>
          </w:tcPr>
          <w:p w14:paraId="1526BE3E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0.63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FFAA"/>
            <w:vAlign w:val="center"/>
            <w:hideMark/>
          </w:tcPr>
          <w:p w14:paraId="0A5D06ED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 (87.5%) The sport of boxing should be banned.</w:t>
            </w:r>
          </w:p>
        </w:tc>
      </w:tr>
      <w:tr w:rsidR="004A59E9" w14:paraId="3F5A511B" w14:textId="77777777" w:rsidTr="000220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AD29B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E8783" w14:textId="77777777" w:rsidR="004A59E9" w:rsidRDefault="004A59E9" w:rsidP="0002202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1622B" w14:textId="77777777" w:rsidR="004A59E9" w:rsidRDefault="004A59E9" w:rsidP="0002202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FBA3C" w14:textId="77777777" w:rsidR="004A59E9" w:rsidRDefault="004A59E9" w:rsidP="0002202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83328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-0.81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F45EC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 (4.2%) Boxing gets poor kids out of the ghetto.</w:t>
            </w:r>
          </w:p>
        </w:tc>
      </w:tr>
      <w:tr w:rsidR="004A59E9" w14:paraId="42AEC206" w14:textId="77777777" w:rsidTr="000220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65653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A55A4" w14:textId="77777777" w:rsidR="004A59E9" w:rsidRDefault="004A59E9" w:rsidP="0002202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443DA" w14:textId="77777777" w:rsidR="004A59E9" w:rsidRDefault="004A59E9" w:rsidP="0002202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BE2C6" w14:textId="77777777" w:rsidR="004A59E9" w:rsidRDefault="004A59E9" w:rsidP="0002202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7CB4D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-0.16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F2F1A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 (8.3%) Medical science says boxing is morally offensive.</w:t>
            </w:r>
          </w:p>
        </w:tc>
      </w:tr>
      <w:tr w:rsidR="004A59E9" w14:paraId="7A626014" w14:textId="77777777" w:rsidTr="000220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64841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ECAEB" w14:textId="77777777" w:rsidR="004A59E9" w:rsidRDefault="004A59E9" w:rsidP="0002202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B6307" w14:textId="77777777" w:rsidR="004A59E9" w:rsidRDefault="004A59E9" w:rsidP="0002202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2CC3A" w14:textId="77777777" w:rsidR="004A59E9" w:rsidRDefault="004A59E9" w:rsidP="0002202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187E4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6FFDB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 (0%) Boxing is a wonderful sport.</w:t>
            </w:r>
          </w:p>
        </w:tc>
      </w:tr>
      <w:tr w:rsidR="004A59E9" w14:paraId="74B86F53" w14:textId="77777777" w:rsidTr="0002202B"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CD235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9074F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MC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A232F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The first major supporting details is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FFAA"/>
            <w:vAlign w:val="center"/>
            <w:hideMark/>
          </w:tcPr>
          <w:p w14:paraId="20B4B8D6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Correct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FFAA"/>
            <w:vAlign w:val="center"/>
            <w:hideMark/>
          </w:tcPr>
          <w:p w14:paraId="5023BFD6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FFAA"/>
            <w:vAlign w:val="center"/>
            <w:hideMark/>
          </w:tcPr>
          <w:p w14:paraId="06834345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23 (95.8%) Boxing sets an example that violence is an accepted behavior.</w:t>
            </w:r>
          </w:p>
        </w:tc>
      </w:tr>
      <w:tr w:rsidR="004A59E9" w14:paraId="4E014C5D" w14:textId="77777777" w:rsidTr="000220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3CB5F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DDE0B" w14:textId="77777777" w:rsidR="004A59E9" w:rsidRDefault="004A59E9" w:rsidP="0002202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C205D" w14:textId="77777777" w:rsidR="004A59E9" w:rsidRDefault="004A59E9" w:rsidP="0002202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27DDB" w14:textId="77777777" w:rsidR="004A59E9" w:rsidRDefault="004A59E9" w:rsidP="0002202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30DF3" w14:textId="77777777" w:rsidR="004A59E9" w:rsidRDefault="004A59E9" w:rsidP="0002202B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B29D9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 (0%) Boxing is the only sport where the sole object is to injure the opponent.</w:t>
            </w:r>
          </w:p>
        </w:tc>
      </w:tr>
      <w:tr w:rsidR="004A59E9" w14:paraId="090729AC" w14:textId="77777777" w:rsidTr="000220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B6028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4A63D" w14:textId="77777777" w:rsidR="004A59E9" w:rsidRDefault="004A59E9" w:rsidP="0002202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A457B" w14:textId="77777777" w:rsidR="004A59E9" w:rsidRDefault="004A59E9" w:rsidP="0002202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858EC" w14:textId="77777777" w:rsidR="004A59E9" w:rsidRDefault="004A59E9" w:rsidP="0002202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83C62" w14:textId="77777777" w:rsidR="004A59E9" w:rsidRDefault="004A59E9" w:rsidP="0002202B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175F5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 (4.2%) Medical Science can't restore a person who has suffered repeated blows to the head.</w:t>
            </w:r>
          </w:p>
        </w:tc>
      </w:tr>
      <w:tr w:rsidR="004A59E9" w14:paraId="6AAFA4B1" w14:textId="77777777" w:rsidTr="000220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67403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D90B3" w14:textId="77777777" w:rsidR="004A59E9" w:rsidRDefault="004A59E9" w:rsidP="0002202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4F55F" w14:textId="77777777" w:rsidR="004A59E9" w:rsidRDefault="004A59E9" w:rsidP="0002202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62F40" w14:textId="77777777" w:rsidR="004A59E9" w:rsidRDefault="004A59E9" w:rsidP="0002202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FA043" w14:textId="77777777" w:rsidR="004A59E9" w:rsidRDefault="004A59E9" w:rsidP="0002202B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4077A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 (0%) None of the above.</w:t>
            </w:r>
          </w:p>
        </w:tc>
      </w:tr>
      <w:tr w:rsidR="004A59E9" w14:paraId="545DB475" w14:textId="77777777" w:rsidTr="0002202B"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DFE2D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D096C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MC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F3E7D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The second major supporting detail is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D1B7A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3D789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06FCC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 (0%) Boxing sets an example that violence is an accepted behavior.</w:t>
            </w:r>
          </w:p>
        </w:tc>
      </w:tr>
      <w:tr w:rsidR="004A59E9" w14:paraId="0B7B431C" w14:textId="77777777" w:rsidTr="000220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0D40E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3F7FA" w14:textId="77777777" w:rsidR="004A59E9" w:rsidRDefault="004A59E9" w:rsidP="0002202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CF1F6" w14:textId="77777777" w:rsidR="004A59E9" w:rsidRDefault="004A59E9" w:rsidP="0002202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FFAA"/>
            <w:vAlign w:val="center"/>
            <w:hideMark/>
          </w:tcPr>
          <w:p w14:paraId="389B306D" w14:textId="77777777" w:rsidR="004A59E9" w:rsidRDefault="004A59E9" w:rsidP="0002202B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Correct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FFAA"/>
            <w:vAlign w:val="center"/>
            <w:hideMark/>
          </w:tcPr>
          <w:p w14:paraId="349D9912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0.76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FFAA"/>
            <w:vAlign w:val="center"/>
            <w:hideMark/>
          </w:tcPr>
          <w:p w14:paraId="1D06085B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 (87.5%) Boxing is the only sport where the sole object is to injure the opponent.</w:t>
            </w:r>
          </w:p>
        </w:tc>
      </w:tr>
      <w:tr w:rsidR="004A59E9" w14:paraId="6EE11A27" w14:textId="77777777" w:rsidTr="000220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A378E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206C5" w14:textId="77777777" w:rsidR="004A59E9" w:rsidRDefault="004A59E9" w:rsidP="0002202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A98A6" w14:textId="77777777" w:rsidR="004A59E9" w:rsidRDefault="004A59E9" w:rsidP="0002202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ECD22" w14:textId="77777777" w:rsidR="004A59E9" w:rsidRDefault="004A59E9" w:rsidP="0002202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04701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-0.32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0A6F0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 (8.3%) Medical science can't restore a person who has suffered repeated blows to the head.</w:t>
            </w:r>
          </w:p>
        </w:tc>
      </w:tr>
      <w:tr w:rsidR="004A59E9" w14:paraId="352CA6C7" w14:textId="77777777" w:rsidTr="000220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5499F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6318D" w14:textId="77777777" w:rsidR="004A59E9" w:rsidRDefault="004A59E9" w:rsidP="0002202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7D16D" w14:textId="77777777" w:rsidR="004A59E9" w:rsidRDefault="004A59E9" w:rsidP="0002202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A2F53" w14:textId="77777777" w:rsidR="004A59E9" w:rsidRDefault="004A59E9" w:rsidP="0002202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625D8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-0.81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6AD21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 (4.2%) Boxing gives poor kids the opportunity to get out of the ghetto.</w:t>
            </w:r>
          </w:p>
        </w:tc>
      </w:tr>
      <w:tr w:rsidR="004A59E9" w14:paraId="7B0EAECB" w14:textId="77777777" w:rsidTr="0002202B"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6E754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53C7C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MC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E3903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What is the author’s purpose for writing the article?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FFAA"/>
            <w:vAlign w:val="center"/>
            <w:hideMark/>
          </w:tcPr>
          <w:p w14:paraId="10EE0B5F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Correct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FFAA"/>
            <w:vAlign w:val="center"/>
            <w:hideMark/>
          </w:tcPr>
          <w:p w14:paraId="173708D7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FFAA"/>
            <w:vAlign w:val="center"/>
            <w:hideMark/>
          </w:tcPr>
          <w:p w14:paraId="355AE4F7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23 (95.8%) To inform the reader about the dangers of boxing and  persuade the reader to support his viewpoint.</w:t>
            </w:r>
          </w:p>
        </w:tc>
      </w:tr>
      <w:tr w:rsidR="004A59E9" w14:paraId="1BB3E881" w14:textId="77777777" w:rsidTr="000220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4A47E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774A1" w14:textId="77777777" w:rsidR="004A59E9" w:rsidRDefault="004A59E9" w:rsidP="0002202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20BE4" w14:textId="77777777" w:rsidR="004A59E9" w:rsidRDefault="004A59E9" w:rsidP="0002202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F2E01" w14:textId="77777777" w:rsidR="004A59E9" w:rsidRDefault="004A59E9" w:rsidP="0002202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49FB9" w14:textId="77777777" w:rsidR="004A59E9" w:rsidRDefault="004A59E9" w:rsidP="0002202B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0615B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 (0%) To persuade the reader that boxing is an opportunity for poor kids to get out of the ghetto.</w:t>
            </w:r>
          </w:p>
        </w:tc>
      </w:tr>
      <w:tr w:rsidR="004A59E9" w14:paraId="3A3A2D78" w14:textId="77777777" w:rsidTr="000220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B6DDC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27852" w14:textId="77777777" w:rsidR="004A59E9" w:rsidRDefault="004A59E9" w:rsidP="0002202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ED51B" w14:textId="77777777" w:rsidR="004A59E9" w:rsidRDefault="004A59E9" w:rsidP="0002202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23530" w14:textId="77777777" w:rsidR="004A59E9" w:rsidRDefault="004A59E9" w:rsidP="0002202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F5E1C" w14:textId="77777777" w:rsidR="004A59E9" w:rsidRDefault="004A59E9" w:rsidP="0002202B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A32C3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 (4.2%) To entertain the reader by discussing boxing.</w:t>
            </w:r>
          </w:p>
        </w:tc>
      </w:tr>
      <w:tr w:rsidR="004A59E9" w14:paraId="4902BA4A" w14:textId="77777777" w:rsidTr="0002202B"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F2B22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6AFB0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MC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EC1D7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What is the authority (credentials) of the author?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FFAA"/>
            <w:vAlign w:val="center"/>
            <w:hideMark/>
          </w:tcPr>
          <w:p w14:paraId="137F12D9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Correct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FFAA"/>
            <w:vAlign w:val="center"/>
            <w:hideMark/>
          </w:tcPr>
          <w:p w14:paraId="0D02DC16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FFAA"/>
            <w:vAlign w:val="center"/>
            <w:hideMark/>
          </w:tcPr>
          <w:p w14:paraId="41C1F5E2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23 (95.8%) He is a doctor</w:t>
            </w:r>
          </w:p>
        </w:tc>
      </w:tr>
      <w:tr w:rsidR="004A59E9" w14:paraId="06D5E0DF" w14:textId="77777777" w:rsidTr="000220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184E6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42122" w14:textId="77777777" w:rsidR="004A59E9" w:rsidRDefault="004A59E9" w:rsidP="0002202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7C3F5" w14:textId="77777777" w:rsidR="004A59E9" w:rsidRDefault="004A59E9" w:rsidP="0002202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56717" w14:textId="77777777" w:rsidR="004A59E9" w:rsidRDefault="004A59E9" w:rsidP="0002202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0DC6E" w14:textId="77777777" w:rsidR="004A59E9" w:rsidRDefault="004A59E9" w:rsidP="0002202B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56A8F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 (0%) He is a boxer</w:t>
            </w:r>
          </w:p>
        </w:tc>
      </w:tr>
      <w:tr w:rsidR="004A59E9" w14:paraId="709B1D4A" w14:textId="77777777" w:rsidTr="000220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07439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784CD" w14:textId="77777777" w:rsidR="004A59E9" w:rsidRDefault="004A59E9" w:rsidP="0002202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E7AFF" w14:textId="77777777" w:rsidR="004A59E9" w:rsidRDefault="004A59E9" w:rsidP="0002202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17043" w14:textId="77777777" w:rsidR="004A59E9" w:rsidRDefault="004A59E9" w:rsidP="0002202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C9C32" w14:textId="77777777" w:rsidR="004A59E9" w:rsidRDefault="004A59E9" w:rsidP="0002202B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10C8B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 (4.2%) He is an author</w:t>
            </w:r>
          </w:p>
        </w:tc>
      </w:tr>
      <w:tr w:rsidR="004A59E9" w14:paraId="450602AC" w14:textId="77777777" w:rsidTr="000220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F9633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1CED0" w14:textId="77777777" w:rsidR="004A59E9" w:rsidRDefault="004A59E9" w:rsidP="0002202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7C273" w14:textId="77777777" w:rsidR="004A59E9" w:rsidRDefault="004A59E9" w:rsidP="0002202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B9B27" w14:textId="77777777" w:rsidR="004A59E9" w:rsidRDefault="004A59E9" w:rsidP="0002202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C1E3A" w14:textId="77777777" w:rsidR="004A59E9" w:rsidRDefault="004A59E9" w:rsidP="0002202B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0890A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 (0%) He is the parent of a former boxer</w:t>
            </w:r>
          </w:p>
        </w:tc>
      </w:tr>
      <w:tr w:rsidR="004A59E9" w14:paraId="3CA069DC" w14:textId="77777777" w:rsidTr="0002202B"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1699D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D5971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MC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D20BC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Which of the following is relevant support for the author's argument that boxing should be banned?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DC096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210BC" w14:textId="77777777" w:rsidR="004A59E9" w:rsidRDefault="004A59E9" w:rsidP="0002202B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8D8C2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 (8.3%) Injuries occur in other sports.</w:t>
            </w:r>
          </w:p>
        </w:tc>
      </w:tr>
      <w:tr w:rsidR="004A59E9" w14:paraId="2CB63ABB" w14:textId="77777777" w:rsidTr="000220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9FF86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CB962" w14:textId="77777777" w:rsidR="004A59E9" w:rsidRDefault="004A59E9" w:rsidP="0002202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0A843" w14:textId="77777777" w:rsidR="004A59E9" w:rsidRDefault="004A59E9" w:rsidP="0002202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FFAA"/>
            <w:vAlign w:val="center"/>
            <w:hideMark/>
          </w:tcPr>
          <w:p w14:paraId="5CC3ED00" w14:textId="77777777" w:rsidR="004A59E9" w:rsidRDefault="004A59E9" w:rsidP="0002202B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Correct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FFAA"/>
            <w:vAlign w:val="center"/>
            <w:hideMark/>
          </w:tcPr>
          <w:p w14:paraId="636810F5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FFAA"/>
            <w:vAlign w:val="center"/>
            <w:hideMark/>
          </w:tcPr>
          <w:p w14:paraId="2A5F7FCA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22 (91.7%) Boxing injuries often lead to irreversible medical consequences.</w:t>
            </w:r>
          </w:p>
        </w:tc>
      </w:tr>
      <w:tr w:rsidR="004A59E9" w14:paraId="2EB3A6C6" w14:textId="77777777" w:rsidTr="000220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7E34F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8438F" w14:textId="77777777" w:rsidR="004A59E9" w:rsidRDefault="004A59E9" w:rsidP="0002202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4BA71" w14:textId="77777777" w:rsidR="004A59E9" w:rsidRDefault="004A59E9" w:rsidP="0002202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12D56" w14:textId="77777777" w:rsidR="004A59E9" w:rsidRDefault="004A59E9" w:rsidP="0002202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4FD21" w14:textId="77777777" w:rsidR="004A59E9" w:rsidRDefault="004A59E9" w:rsidP="0002202B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FC05D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 (0%) Boxing gives poor kids an opportunity to get out of the ghetto.</w:t>
            </w:r>
          </w:p>
        </w:tc>
      </w:tr>
      <w:tr w:rsidR="004A59E9" w14:paraId="068754B7" w14:textId="77777777" w:rsidTr="0002202B"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1BE7D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5A2F7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MC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9CA99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What information could the author have included to make his argument stronger?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E4CF1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A68AF" w14:textId="77777777" w:rsidR="004A59E9" w:rsidRDefault="004A59E9" w:rsidP="0002202B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EBEB8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 (4.2%) Statistics on the number of boxers that end up with brain damage.</w:t>
            </w:r>
          </w:p>
        </w:tc>
      </w:tr>
      <w:tr w:rsidR="004A59E9" w14:paraId="45726585" w14:textId="77777777" w:rsidTr="000220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9A8FB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45703" w14:textId="77777777" w:rsidR="004A59E9" w:rsidRDefault="004A59E9" w:rsidP="0002202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ADFE9" w14:textId="77777777" w:rsidR="004A59E9" w:rsidRDefault="004A59E9" w:rsidP="0002202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CD4F9" w14:textId="77777777" w:rsidR="004A59E9" w:rsidRDefault="004A59E9" w:rsidP="0002202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31A71" w14:textId="77777777" w:rsidR="004A59E9" w:rsidRDefault="004A59E9" w:rsidP="0002202B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A2D8E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 (0%) The amount of money a professional boxer makes during his/her career.</w:t>
            </w:r>
          </w:p>
        </w:tc>
      </w:tr>
      <w:tr w:rsidR="004A59E9" w14:paraId="3D8665CD" w14:textId="77777777" w:rsidTr="000220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D7D5A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EBDF6" w14:textId="77777777" w:rsidR="004A59E9" w:rsidRDefault="004A59E9" w:rsidP="0002202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A5F29" w14:textId="77777777" w:rsidR="004A59E9" w:rsidRDefault="004A59E9" w:rsidP="0002202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164BC" w14:textId="77777777" w:rsidR="004A59E9" w:rsidRDefault="004A59E9" w:rsidP="0002202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26D05" w14:textId="77777777" w:rsidR="004A59E9" w:rsidRDefault="004A59E9" w:rsidP="0002202B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D21CC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 (0%) An example of a professional boxer who suffered brain damage.</w:t>
            </w:r>
          </w:p>
        </w:tc>
      </w:tr>
      <w:tr w:rsidR="004A59E9" w14:paraId="74476791" w14:textId="77777777" w:rsidTr="000220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C4961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7FB42" w14:textId="77777777" w:rsidR="004A59E9" w:rsidRDefault="004A59E9" w:rsidP="0002202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EF7D4" w14:textId="77777777" w:rsidR="004A59E9" w:rsidRDefault="004A59E9" w:rsidP="0002202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FFAA"/>
            <w:vAlign w:val="center"/>
            <w:hideMark/>
          </w:tcPr>
          <w:p w14:paraId="38C66C96" w14:textId="77777777" w:rsidR="004A59E9" w:rsidRDefault="004A59E9" w:rsidP="0002202B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Correct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FFAA"/>
            <w:vAlign w:val="center"/>
            <w:hideMark/>
          </w:tcPr>
          <w:p w14:paraId="2F4097E6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FFAA"/>
            <w:vAlign w:val="center"/>
            <w:hideMark/>
          </w:tcPr>
          <w:p w14:paraId="5C10317D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23 (95.8%) Both A and C.</w:t>
            </w:r>
          </w:p>
        </w:tc>
      </w:tr>
      <w:tr w:rsidR="004A59E9" w14:paraId="6EC95CBF" w14:textId="77777777" w:rsidTr="0002202B"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D19BD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14F6F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MC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14531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What would someone who opposes the author's position argue about the issue?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849FB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B1293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-0.85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47CED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 (8.3%) Boxing causes many other injuries beyond brain injuries.</w:t>
            </w:r>
          </w:p>
        </w:tc>
      </w:tr>
      <w:tr w:rsidR="004A59E9" w14:paraId="7CC531D8" w14:textId="77777777" w:rsidTr="000220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8049F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61DB4" w14:textId="77777777" w:rsidR="004A59E9" w:rsidRDefault="004A59E9" w:rsidP="0002202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E6958" w14:textId="77777777" w:rsidR="004A59E9" w:rsidRDefault="004A59E9" w:rsidP="0002202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C1EA0" w14:textId="77777777" w:rsidR="004A59E9" w:rsidRDefault="004A59E9" w:rsidP="0002202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FA8CF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BC805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 (8.3%) Boxing promotes violence.</w:t>
            </w:r>
          </w:p>
        </w:tc>
      </w:tr>
      <w:tr w:rsidR="004A59E9" w14:paraId="1BDC2452" w14:textId="77777777" w:rsidTr="000220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616FE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CDAED" w14:textId="77777777" w:rsidR="004A59E9" w:rsidRDefault="004A59E9" w:rsidP="0002202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788F8" w14:textId="77777777" w:rsidR="004A59E9" w:rsidRDefault="004A59E9" w:rsidP="0002202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FFAA"/>
            <w:vAlign w:val="center"/>
            <w:hideMark/>
          </w:tcPr>
          <w:p w14:paraId="1B7E67E4" w14:textId="77777777" w:rsidR="004A59E9" w:rsidRDefault="004A59E9" w:rsidP="0002202B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Correct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FFAA"/>
            <w:vAlign w:val="center"/>
            <w:hideMark/>
          </w:tcPr>
          <w:p w14:paraId="5B64487A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0.63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FFAA"/>
            <w:vAlign w:val="center"/>
            <w:hideMark/>
          </w:tcPr>
          <w:p w14:paraId="313D686E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 (83.3%) Boxing is an activity that promotes physical fitness.</w:t>
            </w:r>
          </w:p>
        </w:tc>
      </w:tr>
      <w:tr w:rsidR="004A59E9" w14:paraId="5150F6BC" w14:textId="77777777" w:rsidTr="0002202B"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A27E4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94851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MAT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83A3F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Match the following statements to the type of support that it is.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FFAA"/>
            <w:vAlign w:val="center"/>
            <w:hideMark/>
          </w:tcPr>
          <w:p w14:paraId="07CF4F3E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Correct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FFAA"/>
            <w:vAlign w:val="center"/>
            <w:hideMark/>
          </w:tcPr>
          <w:p w14:paraId="371FB486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FFAA"/>
            <w:vAlign w:val="center"/>
            <w:hideMark/>
          </w:tcPr>
          <w:p w14:paraId="565D3898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10 (76.9%) Boxing in morally offensive because its intent is to is to inflict brain injuries on another </w:t>
            </w:r>
            <w:proofErr w:type="gramStart"/>
            <w:r>
              <w:rPr>
                <w:rFonts w:ascii="Calibri" w:eastAsia="Times New Roman" w:hAnsi="Calibri" w:cs="Calibri"/>
              </w:rPr>
              <w:t>person::</w:t>
            </w:r>
            <w:proofErr w:type="gramEnd"/>
            <w:r>
              <w:rPr>
                <w:rFonts w:ascii="Calibri" w:eastAsia="Times New Roman" w:hAnsi="Calibri" w:cs="Calibri"/>
              </w:rPr>
              <w:t>opinion**Medical science can't take someone who has suffered repeated blows to the head and restore that person to normal function. ::fact</w:t>
            </w:r>
          </w:p>
        </w:tc>
      </w:tr>
      <w:tr w:rsidR="004A59E9" w14:paraId="5A0A4C2B" w14:textId="77777777" w:rsidTr="000220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66A22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25A0B" w14:textId="77777777" w:rsidR="004A59E9" w:rsidRDefault="004A59E9" w:rsidP="0002202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51A9B" w14:textId="77777777" w:rsidR="004A59E9" w:rsidRDefault="004A59E9" w:rsidP="0002202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A9881" w14:textId="77777777" w:rsidR="004A59E9" w:rsidRDefault="004A59E9" w:rsidP="0002202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971CA" w14:textId="77777777" w:rsidR="004A59E9" w:rsidRDefault="004A59E9" w:rsidP="0002202B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F45EC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2 (15.4%) Boxing in morally offensive because its intent is to is to inflict brain injuries on another </w:t>
            </w:r>
            <w:proofErr w:type="gramStart"/>
            <w:r>
              <w:rPr>
                <w:rFonts w:ascii="Calibri" w:eastAsia="Times New Roman" w:hAnsi="Calibri" w:cs="Calibri"/>
              </w:rPr>
              <w:t>person::</w:t>
            </w:r>
            <w:proofErr w:type="gramEnd"/>
            <w:r>
              <w:rPr>
                <w:rFonts w:ascii="Calibri" w:eastAsia="Times New Roman" w:hAnsi="Calibri" w:cs="Calibri"/>
              </w:rPr>
              <w:t>fact**Medical science can't take someone who has suffered repeated blows to the head and restore that person to normal function. ::fact</w:t>
            </w:r>
          </w:p>
        </w:tc>
      </w:tr>
      <w:tr w:rsidR="004A59E9" w14:paraId="3EE454AA" w14:textId="77777777" w:rsidTr="000220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8FADE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CEA0B" w14:textId="77777777" w:rsidR="004A59E9" w:rsidRDefault="004A59E9" w:rsidP="0002202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B8833" w14:textId="77777777" w:rsidR="004A59E9" w:rsidRDefault="004A59E9" w:rsidP="0002202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5156C" w14:textId="77777777" w:rsidR="004A59E9" w:rsidRDefault="004A59E9" w:rsidP="0002202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3A4AF" w14:textId="77777777" w:rsidR="004A59E9" w:rsidRDefault="004A59E9" w:rsidP="0002202B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175E3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1 (7.7%) Boxing in morally offensive because its intent is to is to inflict brain injuries on another </w:t>
            </w:r>
            <w:proofErr w:type="gramStart"/>
            <w:r>
              <w:rPr>
                <w:rFonts w:ascii="Calibri" w:eastAsia="Times New Roman" w:hAnsi="Calibri" w:cs="Calibri"/>
              </w:rPr>
              <w:t>person::</w:t>
            </w:r>
            <w:proofErr w:type="gramEnd"/>
            <w:r>
              <w:rPr>
                <w:rFonts w:ascii="Calibri" w:eastAsia="Times New Roman" w:hAnsi="Calibri" w:cs="Calibri"/>
              </w:rPr>
              <w:t>fact**Medical science can't take someone who has suffered repeated blows to the head and restore that person to normal function. ::opinion</w:t>
            </w:r>
          </w:p>
        </w:tc>
      </w:tr>
    </w:tbl>
    <w:p w14:paraId="5890E5C2" w14:textId="77777777" w:rsidR="004A59E9" w:rsidRDefault="004A59E9" w:rsidP="004A59E9">
      <w:pPr>
        <w:rPr>
          <w:rFonts w:ascii="Calibri" w:hAnsi="Calibri" w:cs="Calibri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00" w:type="dxa"/>
          <w:bottom w:w="15" w:type="dxa"/>
          <w:right w:w="100" w:type="dxa"/>
        </w:tblCellMar>
        <w:tblLook w:val="04A0" w:firstRow="1" w:lastRow="0" w:firstColumn="1" w:lastColumn="0" w:noHBand="0" w:noVBand="1"/>
      </w:tblPr>
      <w:tblGrid>
        <w:gridCol w:w="4004"/>
        <w:gridCol w:w="918"/>
        <w:gridCol w:w="660"/>
        <w:gridCol w:w="880"/>
        <w:gridCol w:w="1489"/>
        <w:gridCol w:w="668"/>
        <w:gridCol w:w="725"/>
      </w:tblGrid>
      <w:tr w:rsidR="004A59E9" w14:paraId="10DCF657" w14:textId="77777777" w:rsidTr="0002202B">
        <w:trPr>
          <w:tblHeader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CEFF"/>
            <w:vAlign w:val="center"/>
            <w:hideMark/>
          </w:tcPr>
          <w:p w14:paraId="49CB21D0" w14:textId="77777777" w:rsidR="004A59E9" w:rsidRDefault="004A59E9" w:rsidP="0002202B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Goals Summary</w:t>
            </w:r>
          </w:p>
        </w:tc>
      </w:tr>
      <w:tr w:rsidR="004A59E9" w14:paraId="7F72A9BF" w14:textId="77777777" w:rsidTr="0002202B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32FEA" w14:textId="77777777" w:rsidR="004A59E9" w:rsidRDefault="004A59E9" w:rsidP="0002202B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Goals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1E259" w14:textId="77777777" w:rsidR="004A59E9" w:rsidRDefault="004A59E9" w:rsidP="0002202B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Scored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FFAA"/>
            <w:vAlign w:val="center"/>
            <w:hideMark/>
          </w:tcPr>
          <w:p w14:paraId="10454EF8" w14:textId="77777777" w:rsidR="004A59E9" w:rsidRDefault="004A59E9" w:rsidP="0002202B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</w:rPr>
              <w:t>Avg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34361" w14:textId="77777777" w:rsidR="004A59E9" w:rsidRDefault="004A59E9" w:rsidP="0002202B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Target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CBE6D" w14:textId="77777777" w:rsidR="004A59E9" w:rsidRDefault="004A59E9" w:rsidP="0002202B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Percent Met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21B70" w14:textId="77777777" w:rsidR="004A59E9" w:rsidRDefault="004A59E9" w:rsidP="0002202B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# Qs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3683C" w14:textId="77777777" w:rsidR="004A59E9" w:rsidRDefault="004A59E9" w:rsidP="0002202B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% Qs</w:t>
            </w:r>
          </w:p>
        </w:tc>
      </w:tr>
      <w:tr w:rsidR="004A59E9" w14:paraId="41B614EB" w14:textId="77777777" w:rsidTr="000220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71093" w14:textId="77777777" w:rsidR="004A59E9" w:rsidRDefault="004A59E9" w:rsidP="0002202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CAC.CSLO.02__Integrative Knowledge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3D1E8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8B0E3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6B4D4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403FB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87.5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97B4B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BAE2E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100</w:t>
            </w:r>
          </w:p>
        </w:tc>
      </w:tr>
      <w:tr w:rsidR="004A59E9" w14:paraId="0C27E2AE" w14:textId="77777777" w:rsidTr="0002202B">
        <w:tc>
          <w:tcPr>
            <w:tcW w:w="0" w:type="auto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10"/>
              <w:gridCol w:w="1119"/>
            </w:tblGrid>
            <w:tr w:rsidR="004A59E9" w14:paraId="710DEBD7" w14:textId="77777777" w:rsidTr="0002202B">
              <w:trPr>
                <w:tblCellSpacing w:w="0" w:type="dxa"/>
              </w:trPr>
              <w:tc>
                <w:tcPr>
                  <w:tcW w:w="4400" w:type="pct"/>
                  <w:tcBorders>
                    <w:right w:val="single" w:sz="6" w:space="0" w:color="000000"/>
                  </w:tcBorders>
                  <w:shd w:val="clear" w:color="auto" w:fill="AAFFAA"/>
                  <w:vAlign w:val="center"/>
                  <w:hideMark/>
                </w:tcPr>
                <w:p w14:paraId="014D5F1B" w14:textId="77777777" w:rsidR="004A59E9" w:rsidRDefault="004A59E9" w:rsidP="0002202B">
                  <w:pPr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463939" w14:textId="77777777" w:rsidR="004A59E9" w:rsidRDefault="004A59E9" w:rsidP="0002202B">
                  <w:pPr>
                    <w:rPr>
                      <w:rFonts w:eastAsia="Times New Roman"/>
                      <w:sz w:val="12"/>
                      <w:szCs w:val="12"/>
                    </w:rPr>
                  </w:pPr>
                </w:p>
              </w:tc>
            </w:tr>
          </w:tbl>
          <w:p w14:paraId="3E1D7BEC" w14:textId="77777777" w:rsidR="004A59E9" w:rsidRDefault="004A59E9" w:rsidP="0002202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A59E9" w14:paraId="47C260BA" w14:textId="77777777" w:rsidTr="000220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FEDCC" w14:textId="77777777" w:rsidR="004A59E9" w:rsidRDefault="004A59E9" w:rsidP="0002202B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CAC.CSLO.04__Reasoning Skills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29AFA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04A02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0.87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3D265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B31DB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45BC7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1A421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81.8</w:t>
            </w:r>
          </w:p>
        </w:tc>
      </w:tr>
      <w:tr w:rsidR="004A59E9" w14:paraId="65917F25" w14:textId="77777777" w:rsidTr="0002202B">
        <w:tc>
          <w:tcPr>
            <w:tcW w:w="0" w:type="auto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16"/>
              <w:gridCol w:w="1213"/>
            </w:tblGrid>
            <w:tr w:rsidR="004A59E9" w14:paraId="2B267D2D" w14:textId="77777777" w:rsidTr="0002202B">
              <w:trPr>
                <w:tblCellSpacing w:w="0" w:type="dxa"/>
              </w:trPr>
              <w:tc>
                <w:tcPr>
                  <w:tcW w:w="4350" w:type="pct"/>
                  <w:tcBorders>
                    <w:right w:val="single" w:sz="6" w:space="0" w:color="000000"/>
                  </w:tcBorders>
                  <w:shd w:val="clear" w:color="auto" w:fill="AAFFAA"/>
                  <w:vAlign w:val="center"/>
                  <w:hideMark/>
                </w:tcPr>
                <w:p w14:paraId="07059824" w14:textId="77777777" w:rsidR="004A59E9" w:rsidRDefault="004A59E9" w:rsidP="0002202B">
                  <w:pPr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AA4503" w14:textId="77777777" w:rsidR="004A59E9" w:rsidRDefault="004A59E9" w:rsidP="0002202B">
                  <w:pPr>
                    <w:rPr>
                      <w:rFonts w:eastAsia="Times New Roman"/>
                      <w:sz w:val="12"/>
                      <w:szCs w:val="12"/>
                    </w:rPr>
                  </w:pPr>
                </w:p>
              </w:tc>
            </w:tr>
          </w:tbl>
          <w:p w14:paraId="7E9CEF33" w14:textId="77777777" w:rsidR="004A59E9" w:rsidRDefault="004A59E9" w:rsidP="0002202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A59E9" w14:paraId="529C10DC" w14:textId="77777777" w:rsidTr="000220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7A5F4" w14:textId="77777777" w:rsidR="004A59E9" w:rsidRDefault="004A59E9" w:rsidP="0002202B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RDG100.MSLO.02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6509E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F821C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F354E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CAF9B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97E9D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B1471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27.3</w:t>
            </w:r>
          </w:p>
        </w:tc>
      </w:tr>
      <w:tr w:rsidR="004A59E9" w14:paraId="156F2E21" w14:textId="77777777" w:rsidTr="0002202B">
        <w:tc>
          <w:tcPr>
            <w:tcW w:w="0" w:type="auto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96"/>
              <w:gridCol w:w="933"/>
            </w:tblGrid>
            <w:tr w:rsidR="004A59E9" w14:paraId="5C0436CC" w14:textId="77777777" w:rsidTr="0002202B">
              <w:trPr>
                <w:tblCellSpacing w:w="0" w:type="dxa"/>
              </w:trPr>
              <w:tc>
                <w:tcPr>
                  <w:tcW w:w="4500" w:type="pct"/>
                  <w:tcBorders>
                    <w:right w:val="single" w:sz="6" w:space="0" w:color="000000"/>
                  </w:tcBorders>
                  <w:shd w:val="clear" w:color="auto" w:fill="AAFFAA"/>
                  <w:vAlign w:val="center"/>
                  <w:hideMark/>
                </w:tcPr>
                <w:p w14:paraId="483FB1A5" w14:textId="77777777" w:rsidR="004A59E9" w:rsidRDefault="004A59E9" w:rsidP="0002202B">
                  <w:pPr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8EEC18" w14:textId="77777777" w:rsidR="004A59E9" w:rsidRDefault="004A59E9" w:rsidP="0002202B">
                  <w:pPr>
                    <w:rPr>
                      <w:rFonts w:eastAsia="Times New Roman"/>
                      <w:sz w:val="12"/>
                      <w:szCs w:val="12"/>
                    </w:rPr>
                  </w:pPr>
                </w:p>
              </w:tc>
            </w:tr>
          </w:tbl>
          <w:p w14:paraId="28B72766" w14:textId="77777777" w:rsidR="004A59E9" w:rsidRDefault="004A59E9" w:rsidP="0002202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A59E9" w14:paraId="48845F2A" w14:textId="77777777" w:rsidTr="000220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952B2" w14:textId="77777777" w:rsidR="004A59E9" w:rsidRDefault="004A59E9" w:rsidP="0002202B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RDG100.MSLO.07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66509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ED31A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55534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26DAE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70.8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6721E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4D4CC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18.2</w:t>
            </w:r>
          </w:p>
        </w:tc>
      </w:tr>
      <w:tr w:rsidR="004A59E9" w14:paraId="32DD8201" w14:textId="77777777" w:rsidTr="0002202B">
        <w:tc>
          <w:tcPr>
            <w:tcW w:w="0" w:type="auto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96"/>
              <w:gridCol w:w="933"/>
            </w:tblGrid>
            <w:tr w:rsidR="004A59E9" w14:paraId="7EBC15EC" w14:textId="77777777" w:rsidTr="0002202B">
              <w:trPr>
                <w:tblCellSpacing w:w="0" w:type="dxa"/>
              </w:trPr>
              <w:tc>
                <w:tcPr>
                  <w:tcW w:w="4500" w:type="pct"/>
                  <w:tcBorders>
                    <w:right w:val="single" w:sz="6" w:space="0" w:color="000000"/>
                  </w:tcBorders>
                  <w:shd w:val="clear" w:color="auto" w:fill="AAFFAA"/>
                  <w:vAlign w:val="center"/>
                  <w:hideMark/>
                </w:tcPr>
                <w:p w14:paraId="1943ABEC" w14:textId="77777777" w:rsidR="004A59E9" w:rsidRDefault="004A59E9" w:rsidP="0002202B">
                  <w:pPr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eastAsia="Times New Roman"/>
                      <w:sz w:val="12"/>
                      <w:szCs w:val="12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273228" w14:textId="77777777" w:rsidR="004A59E9" w:rsidRDefault="004A59E9" w:rsidP="0002202B">
                  <w:pPr>
                    <w:rPr>
                      <w:rFonts w:eastAsia="Times New Roman"/>
                      <w:sz w:val="12"/>
                      <w:szCs w:val="12"/>
                    </w:rPr>
                  </w:pPr>
                </w:p>
              </w:tc>
            </w:tr>
          </w:tbl>
          <w:p w14:paraId="10A2066F" w14:textId="77777777" w:rsidR="004A59E9" w:rsidRDefault="004A59E9" w:rsidP="0002202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A59E9" w14:paraId="7785582E" w14:textId="77777777" w:rsidTr="000220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1243F" w14:textId="77777777" w:rsidR="004A59E9" w:rsidRDefault="004A59E9" w:rsidP="0002202B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RDG100.MSLO.08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87474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871D0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31314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FA9EC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6C3C2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0E170" w14:textId="77777777" w:rsidR="004A59E9" w:rsidRDefault="004A59E9" w:rsidP="0002202B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63.6</w:t>
            </w:r>
          </w:p>
        </w:tc>
      </w:tr>
      <w:tr w:rsidR="004A59E9" w14:paraId="7398EC27" w14:textId="77777777" w:rsidTr="0002202B">
        <w:tc>
          <w:tcPr>
            <w:tcW w:w="0" w:type="auto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30"/>
              <w:gridCol w:w="1399"/>
            </w:tblGrid>
            <w:tr w:rsidR="004A59E9" w14:paraId="2B77DD5E" w14:textId="77777777" w:rsidTr="0002202B">
              <w:trPr>
                <w:tblCellSpacing w:w="0" w:type="dxa"/>
              </w:trPr>
              <w:tc>
                <w:tcPr>
                  <w:tcW w:w="4250" w:type="pct"/>
                  <w:tcBorders>
                    <w:right w:val="single" w:sz="6" w:space="0" w:color="000000"/>
                  </w:tcBorders>
                  <w:shd w:val="clear" w:color="auto" w:fill="AAFFAA"/>
                  <w:vAlign w:val="center"/>
                  <w:hideMark/>
                </w:tcPr>
                <w:p w14:paraId="5194DC63" w14:textId="77777777" w:rsidR="004A59E9" w:rsidRDefault="004A59E9" w:rsidP="0002202B">
                  <w:pPr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eastAsia="Times New Roman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D7AF95" w14:textId="77777777" w:rsidR="004A59E9" w:rsidRDefault="004A59E9" w:rsidP="0002202B">
                  <w:pPr>
                    <w:rPr>
                      <w:rFonts w:eastAsia="Times New Roman"/>
                      <w:sz w:val="12"/>
                      <w:szCs w:val="12"/>
                    </w:rPr>
                  </w:pPr>
                </w:p>
              </w:tc>
            </w:tr>
          </w:tbl>
          <w:p w14:paraId="30742AC1" w14:textId="77777777" w:rsidR="004A59E9" w:rsidRDefault="004A59E9" w:rsidP="0002202B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4CA87D4B" w14:textId="77777777" w:rsidR="004A59E9" w:rsidRDefault="004A59E9" w:rsidP="004A59E9">
      <w:pPr>
        <w:rPr>
          <w:rFonts w:eastAsia="Times New Roman"/>
        </w:rPr>
      </w:pPr>
    </w:p>
    <w:p w14:paraId="31544097" w14:textId="77777777" w:rsidR="004A59E9" w:rsidRPr="003868CD" w:rsidRDefault="004A59E9" w:rsidP="00E07926">
      <w:pPr>
        <w:rPr>
          <w:rFonts w:ascii="Times New Roman" w:hAnsi="Times New Roman" w:cs="Times New Roman"/>
          <w:i/>
          <w:sz w:val="24"/>
          <w:szCs w:val="24"/>
        </w:rPr>
      </w:pPr>
    </w:p>
    <w:sectPr w:rsidR="004A59E9" w:rsidRPr="003868C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A64B5" w14:textId="77777777" w:rsidR="00D50C4A" w:rsidRDefault="00D50C4A">
      <w:pPr>
        <w:spacing w:after="0" w:line="240" w:lineRule="auto"/>
      </w:pPr>
      <w:r>
        <w:separator/>
      </w:r>
    </w:p>
  </w:endnote>
  <w:endnote w:type="continuationSeparator" w:id="0">
    <w:p w14:paraId="330F1DFA" w14:textId="77777777" w:rsidR="00D50C4A" w:rsidRDefault="00D50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C9882" w14:textId="77777777" w:rsidR="00D50C4A" w:rsidRDefault="00D50C4A">
      <w:pPr>
        <w:spacing w:after="0" w:line="240" w:lineRule="auto"/>
      </w:pPr>
      <w:r>
        <w:separator/>
      </w:r>
    </w:p>
  </w:footnote>
  <w:footnote w:type="continuationSeparator" w:id="0">
    <w:p w14:paraId="599829EE" w14:textId="77777777" w:rsidR="00D50C4A" w:rsidRDefault="00D50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77412" w14:textId="02D03F61" w:rsidR="00711DD4" w:rsidRDefault="00711DD4">
    <w:pPr>
      <w:pStyle w:val="Header"/>
    </w:pPr>
    <w:r>
      <w:rPr>
        <w:rFonts w:ascii="Times New Roman" w:hAnsi="Times New Roman" w:cs="Times New Roman"/>
        <w:b/>
        <w:noProof/>
        <w:sz w:val="24"/>
        <w:szCs w:val="24"/>
      </w:rPr>
      <w:drawing>
        <wp:inline distT="0" distB="0" distL="0" distR="0" wp14:anchorId="772502FC" wp14:editId="61F07FD8">
          <wp:extent cx="1226046" cy="48502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137" cy="4898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BC9C5F" w14:textId="77777777" w:rsidR="00711DD4" w:rsidRDefault="00711D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D7F12"/>
    <w:multiLevelType w:val="hybridMultilevel"/>
    <w:tmpl w:val="075253A0"/>
    <w:lvl w:ilvl="0" w:tplc="78689F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4B4B42"/>
    <w:multiLevelType w:val="hybridMultilevel"/>
    <w:tmpl w:val="AF1AF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A72BA"/>
    <w:multiLevelType w:val="hybridMultilevel"/>
    <w:tmpl w:val="0A9A1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F13C1"/>
    <w:multiLevelType w:val="hybridMultilevel"/>
    <w:tmpl w:val="DD5CB6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FA5CDD"/>
    <w:multiLevelType w:val="hybridMultilevel"/>
    <w:tmpl w:val="A99C589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230D0"/>
    <w:multiLevelType w:val="hybridMultilevel"/>
    <w:tmpl w:val="C8FADB18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6B2C4893"/>
    <w:multiLevelType w:val="hybridMultilevel"/>
    <w:tmpl w:val="EDA216FE"/>
    <w:lvl w:ilvl="0" w:tplc="3738B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E2143A"/>
    <w:multiLevelType w:val="hybridMultilevel"/>
    <w:tmpl w:val="0A9A1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E0tTQ0sDCxMDWwtDRX0lEKTi0uzszPAykwrgUAzYRYZywAAAA="/>
  </w:docVars>
  <w:rsids>
    <w:rsidRoot w:val="00E07926"/>
    <w:rsid w:val="00012149"/>
    <w:rsid w:val="00083016"/>
    <w:rsid w:val="00105DB5"/>
    <w:rsid w:val="00123613"/>
    <w:rsid w:val="001A39DB"/>
    <w:rsid w:val="001C60B7"/>
    <w:rsid w:val="00216121"/>
    <w:rsid w:val="00280F38"/>
    <w:rsid w:val="00282E74"/>
    <w:rsid w:val="002B24C6"/>
    <w:rsid w:val="0034433F"/>
    <w:rsid w:val="00377D97"/>
    <w:rsid w:val="003868CD"/>
    <w:rsid w:val="003B153C"/>
    <w:rsid w:val="003C483F"/>
    <w:rsid w:val="003E6E25"/>
    <w:rsid w:val="004614FA"/>
    <w:rsid w:val="004A0DA9"/>
    <w:rsid w:val="004A59E9"/>
    <w:rsid w:val="004B6B07"/>
    <w:rsid w:val="004C42BF"/>
    <w:rsid w:val="00521115"/>
    <w:rsid w:val="0052278F"/>
    <w:rsid w:val="005230BD"/>
    <w:rsid w:val="00560F15"/>
    <w:rsid w:val="00590785"/>
    <w:rsid w:val="005B589A"/>
    <w:rsid w:val="005E0283"/>
    <w:rsid w:val="0063088D"/>
    <w:rsid w:val="0069102F"/>
    <w:rsid w:val="006C3174"/>
    <w:rsid w:val="006E53FD"/>
    <w:rsid w:val="007016DA"/>
    <w:rsid w:val="00711DD4"/>
    <w:rsid w:val="00713A52"/>
    <w:rsid w:val="00723B12"/>
    <w:rsid w:val="00727FBC"/>
    <w:rsid w:val="00744017"/>
    <w:rsid w:val="00745291"/>
    <w:rsid w:val="00784F4C"/>
    <w:rsid w:val="007F43CA"/>
    <w:rsid w:val="00816BDB"/>
    <w:rsid w:val="008623BC"/>
    <w:rsid w:val="008970E9"/>
    <w:rsid w:val="008D79AA"/>
    <w:rsid w:val="008E5456"/>
    <w:rsid w:val="00953565"/>
    <w:rsid w:val="009C35E1"/>
    <w:rsid w:val="009D0630"/>
    <w:rsid w:val="00A02A2F"/>
    <w:rsid w:val="00A03040"/>
    <w:rsid w:val="00A14BB2"/>
    <w:rsid w:val="00A16BB4"/>
    <w:rsid w:val="00A832FA"/>
    <w:rsid w:val="00A9102D"/>
    <w:rsid w:val="00AD2987"/>
    <w:rsid w:val="00B11356"/>
    <w:rsid w:val="00B4590E"/>
    <w:rsid w:val="00B52FC5"/>
    <w:rsid w:val="00B602DC"/>
    <w:rsid w:val="00B77BCE"/>
    <w:rsid w:val="00B90C4E"/>
    <w:rsid w:val="00C136D9"/>
    <w:rsid w:val="00C51883"/>
    <w:rsid w:val="00CC2668"/>
    <w:rsid w:val="00CD6141"/>
    <w:rsid w:val="00D50C4A"/>
    <w:rsid w:val="00D67A6F"/>
    <w:rsid w:val="00DF5033"/>
    <w:rsid w:val="00E07926"/>
    <w:rsid w:val="00E16035"/>
    <w:rsid w:val="00E63ACC"/>
    <w:rsid w:val="00EB339D"/>
    <w:rsid w:val="00EC695A"/>
    <w:rsid w:val="00FB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A98881"/>
  <w15:docId w15:val="{84F24AD7-730E-E74A-9E83-15FC6991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926"/>
  </w:style>
  <w:style w:type="paragraph" w:styleId="Heading2">
    <w:name w:val="heading 2"/>
    <w:basedOn w:val="Normal"/>
    <w:link w:val="Heading2Char"/>
    <w:uiPriority w:val="9"/>
    <w:qFormat/>
    <w:rsid w:val="00282E74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7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7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926"/>
  </w:style>
  <w:style w:type="paragraph" w:styleId="Footer">
    <w:name w:val="footer"/>
    <w:basedOn w:val="Normal"/>
    <w:link w:val="FooterChar"/>
    <w:uiPriority w:val="99"/>
    <w:unhideWhenUsed/>
    <w:rsid w:val="00E07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926"/>
  </w:style>
  <w:style w:type="paragraph" w:styleId="BalloonText">
    <w:name w:val="Balloon Text"/>
    <w:basedOn w:val="Normal"/>
    <w:link w:val="BalloonTextChar"/>
    <w:uiPriority w:val="99"/>
    <w:semiHidden/>
    <w:unhideWhenUsed/>
    <w:rsid w:val="006E5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3FD"/>
    <w:rPr>
      <w:rFonts w:ascii="Tahoma" w:hAnsi="Tahoma" w:cs="Tahoma"/>
      <w:sz w:val="16"/>
      <w:szCs w:val="16"/>
    </w:rPr>
  </w:style>
  <w:style w:type="character" w:customStyle="1" w:styleId="Style17">
    <w:name w:val="Style17"/>
    <w:basedOn w:val="DefaultParagraphFont"/>
    <w:uiPriority w:val="1"/>
    <w:rsid w:val="00816BDB"/>
    <w:rPr>
      <w:rFonts w:ascii="Calibri" w:hAnsi="Calibri"/>
      <w:sz w:val="24"/>
      <w:u w:val="thick"/>
    </w:rPr>
  </w:style>
  <w:style w:type="paragraph" w:styleId="ListParagraph">
    <w:name w:val="List Paragraph"/>
    <w:basedOn w:val="Normal"/>
    <w:uiPriority w:val="34"/>
    <w:qFormat/>
    <w:rsid w:val="001A39D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82E74"/>
    <w:rPr>
      <w:rFonts w:ascii="Times New Roman" w:eastAsiaTheme="minorEastAsia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82E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0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letion xmlns="0ff702e3-b6ae-4196-a375-e325204bc28b">true</Completion>
    <_Flow_SignoffStatus xmlns="0ff702e3-b6ae-4196-a375-e325204bc28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D12712E5D29F4B9445F7C1110FA0A4" ma:contentTypeVersion="8" ma:contentTypeDescription="Create a new document." ma:contentTypeScope="" ma:versionID="34da270b4345db264fb235c0b03fd28a">
  <xsd:schema xmlns:xsd="http://www.w3.org/2001/XMLSchema" xmlns:xs="http://www.w3.org/2001/XMLSchema" xmlns:p="http://schemas.microsoft.com/office/2006/metadata/properties" xmlns:ns2="0ff702e3-b6ae-4196-a375-e325204bc28b" xmlns:ns3="34225417-2831-44ec-ab17-65a6c812fd04" targetNamespace="http://schemas.microsoft.com/office/2006/metadata/properties" ma:root="true" ma:fieldsID="7de6a27828ee300cbe4685181d8cdeb0" ns2:_="" ns3:_="">
    <xsd:import namespace="0ff702e3-b6ae-4196-a375-e325204bc28b"/>
    <xsd:import namespace="34225417-2831-44ec-ab17-65a6c812fd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Comple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702e3-b6ae-4196-a375-e325204bc2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ign-off status" ma:internalName="Sign_x002d_off_x0020_status">
      <xsd:simpleType>
        <xsd:restriction base="dms:Text"/>
      </xsd:simpleType>
    </xsd:element>
    <xsd:element name="Completion" ma:index="13" nillable="true" ma:displayName="Completion" ma:default="1" ma:format="Dropdown" ma:internalName="Completion">
      <xsd:simpleType>
        <xsd:restriction base="dms:Boolea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25417-2831-44ec-ab17-65a6c812fd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4674EF-79DC-4E97-B5B2-1D4EB7CC64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13CFDC-C77C-4597-9A78-496764C40B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D7D435-16D3-4890-BD90-EA6C256338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1779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Arizona College</Company>
  <LinksUpToDate>false</LinksUpToDate>
  <CharactersWithSpaces>11898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 Steincamp</dc:creator>
  <cp:lastModifiedBy>Mary Kieser</cp:lastModifiedBy>
  <cp:revision>2</cp:revision>
  <dcterms:created xsi:type="dcterms:W3CDTF">2021-05-20T15:05:00Z</dcterms:created>
  <dcterms:modified xsi:type="dcterms:W3CDTF">2021-05-20T15:05:00Z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0x010100E3D12712E5D29F4B9445F7C1110FA0A4</vt:lpwstr>
  </property>
</Properties>
</file>