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2588E" w14:textId="5848D1AA" w:rsidR="00E07926" w:rsidRPr="006651FA" w:rsidRDefault="00183214" w:rsidP="00F8182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FINAL </w:t>
      </w:r>
      <w:r w:rsidR="00E07926" w:rsidRPr="006651FA">
        <w:rPr>
          <w:rFonts w:asciiTheme="majorHAnsi" w:hAnsiTheme="majorHAnsi" w:cstheme="majorHAnsi"/>
          <w:b/>
          <w:sz w:val="24"/>
          <w:szCs w:val="24"/>
        </w:rPr>
        <w:t xml:space="preserve">ASSESSMENT REPORTING FORM 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7926" w:rsidRPr="006651FA" w14:paraId="0774D59F" w14:textId="77777777" w:rsidTr="00003E99">
        <w:tc>
          <w:tcPr>
            <w:tcW w:w="9350" w:type="dxa"/>
          </w:tcPr>
          <w:p w14:paraId="513C0ABD" w14:textId="44C9B454" w:rsidR="00E07926" w:rsidRPr="006651FA" w:rsidRDefault="00E07926" w:rsidP="0063088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>Program</w:t>
            </w:r>
            <w:r w:rsidR="00E63ACC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or Course</w:t>
            </w:r>
            <w:r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  <w:r w:rsidR="00816BDB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9A1BCE">
              <w:rPr>
                <w:rFonts w:asciiTheme="majorHAnsi" w:hAnsiTheme="majorHAnsi" w:cstheme="majorHAnsi"/>
                <w:b/>
                <w:sz w:val="24"/>
                <w:szCs w:val="24"/>
              </w:rPr>
              <w:t>ACC201</w:t>
            </w:r>
          </w:p>
        </w:tc>
      </w:tr>
      <w:tr w:rsidR="00E07926" w:rsidRPr="006651FA" w14:paraId="6AA07AFC" w14:textId="77777777" w:rsidTr="00795E41">
        <w:tc>
          <w:tcPr>
            <w:tcW w:w="9350" w:type="dxa"/>
          </w:tcPr>
          <w:p w14:paraId="2833E9E3" w14:textId="39E1798D" w:rsidR="00E07926" w:rsidRPr="006651FA" w:rsidRDefault="00E07926" w:rsidP="0063088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>Date:</w:t>
            </w:r>
            <w:r w:rsidR="00816BDB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0659DA">
              <w:rPr>
                <w:rFonts w:asciiTheme="majorHAnsi" w:hAnsiTheme="majorHAnsi" w:cstheme="majorHAnsi"/>
                <w:b/>
                <w:sz w:val="24"/>
                <w:szCs w:val="24"/>
              </w:rPr>
              <w:t>Fall</w:t>
            </w:r>
            <w:r w:rsidR="00F5481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955530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2020 </w:t>
            </w:r>
          </w:p>
        </w:tc>
      </w:tr>
      <w:tr w:rsidR="00A9102D" w:rsidRPr="006651FA" w14:paraId="3B765141" w14:textId="77777777" w:rsidTr="00795E41">
        <w:tc>
          <w:tcPr>
            <w:tcW w:w="9350" w:type="dxa"/>
          </w:tcPr>
          <w:p w14:paraId="299B075D" w14:textId="521A9381" w:rsidR="00A9102D" w:rsidRPr="006651FA" w:rsidRDefault="00A9102D" w:rsidP="005507B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Number of Student Participants:    </w:t>
            </w:r>
            <w:r w:rsidR="005507B3">
              <w:rPr>
                <w:rFonts w:asciiTheme="majorHAnsi" w:hAnsiTheme="majorHAnsi" w:cstheme="majorHAnsi"/>
                <w:b/>
                <w:sz w:val="24"/>
                <w:szCs w:val="24"/>
              </w:rPr>
              <w:t>38</w:t>
            </w:r>
          </w:p>
        </w:tc>
      </w:tr>
      <w:tr w:rsidR="00C51883" w:rsidRPr="006651FA" w14:paraId="6038E9F6" w14:textId="77777777" w:rsidTr="00795E41">
        <w:tc>
          <w:tcPr>
            <w:tcW w:w="9350" w:type="dxa"/>
          </w:tcPr>
          <w:p w14:paraId="2E8C878D" w14:textId="28BB23D9" w:rsidR="00C51883" w:rsidRPr="006651FA" w:rsidRDefault="00C51883" w:rsidP="0063088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Number of Faculty/Staff Participants: </w:t>
            </w:r>
            <w:r w:rsidR="00E719A9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</w:tr>
      <w:tr w:rsidR="00E07926" w:rsidRPr="006651FA" w14:paraId="4336816B" w14:textId="77777777" w:rsidTr="00BA4A70">
        <w:tc>
          <w:tcPr>
            <w:tcW w:w="9350" w:type="dxa"/>
          </w:tcPr>
          <w:p w14:paraId="4517F59E" w14:textId="42D9BD06" w:rsidR="00E07926" w:rsidRPr="006651FA" w:rsidRDefault="00E07926" w:rsidP="0063088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>Name of person completing report:</w:t>
            </w:r>
            <w:r w:rsidR="00816BDB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E719A9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>Chris Demaline</w:t>
            </w:r>
          </w:p>
        </w:tc>
      </w:tr>
      <w:tr w:rsidR="00E07926" w:rsidRPr="006651FA" w14:paraId="01B5E9B9" w14:textId="77777777" w:rsidTr="00E3567D">
        <w:tc>
          <w:tcPr>
            <w:tcW w:w="9350" w:type="dxa"/>
            <w:shd w:val="clear" w:color="auto" w:fill="FFC000" w:themeFill="accent4"/>
          </w:tcPr>
          <w:p w14:paraId="1D0FC99A" w14:textId="77777777" w:rsidR="00E07926" w:rsidRPr="006651FA" w:rsidRDefault="00E63ACC" w:rsidP="00E63AC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>Assessment Reporting Form</w:t>
            </w:r>
            <w:r w:rsidR="006E53FD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: </w:t>
            </w:r>
            <w:r w:rsidR="006E53FD" w:rsidRPr="006651FA">
              <w:rPr>
                <w:rFonts w:asciiTheme="majorHAnsi" w:hAnsiTheme="majorHAnsi" w:cstheme="majorHAnsi"/>
                <w:sz w:val="24"/>
                <w:szCs w:val="24"/>
              </w:rPr>
              <w:t>This report</w:t>
            </w:r>
            <w:r w:rsidRPr="006651FA">
              <w:rPr>
                <w:rFonts w:asciiTheme="majorHAnsi" w:hAnsiTheme="majorHAnsi" w:cstheme="majorHAnsi"/>
                <w:sz w:val="24"/>
                <w:szCs w:val="24"/>
              </w:rPr>
              <w:t xml:space="preserve"> is to show that a</w:t>
            </w:r>
            <w:r w:rsidR="006E53FD" w:rsidRPr="006651FA">
              <w:rPr>
                <w:rFonts w:asciiTheme="majorHAnsi" w:hAnsiTheme="majorHAnsi" w:cstheme="majorHAnsi"/>
                <w:sz w:val="24"/>
                <w:szCs w:val="24"/>
              </w:rPr>
              <w:t xml:space="preserve">ssessment is occurring and that the results are being used to make changes to improve student learning. </w:t>
            </w:r>
            <w:r w:rsidRPr="006651FA">
              <w:rPr>
                <w:rFonts w:asciiTheme="majorHAnsi" w:hAnsiTheme="majorHAnsi" w:cstheme="majorHAnsi"/>
                <w:sz w:val="24"/>
                <w:szCs w:val="24"/>
              </w:rPr>
              <w:t>The a</w:t>
            </w:r>
            <w:r w:rsidR="006E53FD" w:rsidRPr="006651FA">
              <w:rPr>
                <w:rFonts w:asciiTheme="majorHAnsi" w:hAnsiTheme="majorHAnsi" w:cstheme="majorHAnsi"/>
                <w:sz w:val="24"/>
                <w:szCs w:val="24"/>
              </w:rPr>
              <w:t>ssessment</w:t>
            </w:r>
            <w:r w:rsidRPr="006651FA">
              <w:rPr>
                <w:rFonts w:asciiTheme="majorHAnsi" w:hAnsiTheme="majorHAnsi" w:cstheme="majorHAnsi"/>
                <w:sz w:val="24"/>
                <w:szCs w:val="24"/>
              </w:rPr>
              <w:t xml:space="preserve"> being reported</w:t>
            </w:r>
            <w:r w:rsidR="006E53FD" w:rsidRPr="006651FA">
              <w:rPr>
                <w:rFonts w:asciiTheme="majorHAnsi" w:hAnsiTheme="majorHAnsi" w:cstheme="majorHAnsi"/>
                <w:sz w:val="24"/>
                <w:szCs w:val="24"/>
              </w:rPr>
              <w:t xml:space="preserve"> could be an assessment of a Program Learning Outcome (PLO) or a Measurab</w:t>
            </w:r>
            <w:r w:rsidRPr="006651FA">
              <w:rPr>
                <w:rFonts w:asciiTheme="majorHAnsi" w:hAnsiTheme="majorHAnsi" w:cstheme="majorHAnsi"/>
                <w:sz w:val="24"/>
                <w:szCs w:val="24"/>
              </w:rPr>
              <w:t xml:space="preserve">le Student Level Outcome (MSLO). </w:t>
            </w:r>
            <w:r w:rsidR="006E53FD" w:rsidRPr="006651FA">
              <w:rPr>
                <w:rFonts w:asciiTheme="majorHAnsi" w:hAnsiTheme="majorHAnsi" w:cstheme="majorHAnsi"/>
                <w:sz w:val="24"/>
                <w:szCs w:val="24"/>
              </w:rPr>
              <w:t>Each program should be assessing and gathering data for at least two PLOs</w:t>
            </w:r>
            <w:r w:rsidRPr="006651FA">
              <w:rPr>
                <w:rFonts w:asciiTheme="majorHAnsi" w:hAnsiTheme="majorHAnsi" w:cstheme="majorHAnsi"/>
                <w:sz w:val="24"/>
                <w:szCs w:val="24"/>
              </w:rPr>
              <w:t xml:space="preserve"> OR two MSLOs</w:t>
            </w:r>
            <w:r w:rsidR="006E53FD" w:rsidRPr="006651F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651FA">
              <w:rPr>
                <w:rFonts w:asciiTheme="majorHAnsi" w:hAnsiTheme="majorHAnsi" w:cstheme="majorHAnsi"/>
                <w:sz w:val="24"/>
                <w:szCs w:val="24"/>
              </w:rPr>
              <w:t>that contain CSLOs</w:t>
            </w:r>
            <w:r w:rsidR="006E53FD" w:rsidRPr="006651FA">
              <w:rPr>
                <w:rFonts w:asciiTheme="majorHAnsi" w:hAnsiTheme="majorHAnsi" w:cstheme="majorHAnsi"/>
                <w:sz w:val="24"/>
                <w:szCs w:val="24"/>
              </w:rPr>
              <w:t xml:space="preserve"> each year. </w:t>
            </w:r>
          </w:p>
        </w:tc>
      </w:tr>
      <w:tr w:rsidR="00E07926" w:rsidRPr="006651FA" w14:paraId="26A1B3C7" w14:textId="77777777" w:rsidTr="00E3567D">
        <w:tc>
          <w:tcPr>
            <w:tcW w:w="9350" w:type="dxa"/>
          </w:tcPr>
          <w:p w14:paraId="3AD40A57" w14:textId="77777777" w:rsidR="00E07926" w:rsidRPr="006651FA" w:rsidRDefault="00E07926" w:rsidP="00E3567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 What </w:t>
            </w:r>
            <w:r w:rsidR="00A9102D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>LOs</w:t>
            </w:r>
            <w:r w:rsidR="00E63ACC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B90C4E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>and/</w:t>
            </w:r>
            <w:r w:rsidR="00E63ACC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or </w:t>
            </w:r>
            <w:r w:rsidR="00E63ACC" w:rsidRPr="00197F5E"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</w:rPr>
              <w:t>MSLOs</w:t>
            </w:r>
            <w:r w:rsidR="00E63ACC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and</w:t>
            </w:r>
            <w:r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CSLOs did you assess this year?</w:t>
            </w:r>
            <w:r w:rsidR="00A9102D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7D012FFE" w14:textId="77777777" w:rsidR="00E07926" w:rsidRPr="006651FA" w:rsidRDefault="00E07926" w:rsidP="00E3567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4D871A9" w14:textId="6DB21BE9" w:rsidR="00E07926" w:rsidRPr="006651FA" w:rsidRDefault="00487EF1" w:rsidP="00E3567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51FA">
              <w:rPr>
                <w:rFonts w:asciiTheme="majorHAnsi" w:hAnsiTheme="majorHAnsi" w:cstheme="majorHAnsi"/>
                <w:sz w:val="24"/>
                <w:szCs w:val="24"/>
              </w:rPr>
              <w:t>1. Synthesis Level) Analyze transactions, record the appropriate journal entries, and complete the accounting cycle in accordance with Generally Accepted Accounting Principles (GAAP).  (CSLO 4)</w:t>
            </w:r>
            <w:r w:rsidRPr="006651FA">
              <w:rPr>
                <w:rFonts w:asciiTheme="majorHAnsi" w:hAnsiTheme="majorHAnsi" w:cstheme="majorHAnsi"/>
                <w:sz w:val="24"/>
                <w:szCs w:val="24"/>
              </w:rPr>
              <w:br/>
              <w:t>7. (Synthesis Level) Account for fixed assets, intangible assets, and natural resources; explain and demonstrate how they are presented on a company's financial statements. (CSLO 4)</w:t>
            </w:r>
            <w:r w:rsidRPr="006651FA">
              <w:rPr>
                <w:rFonts w:asciiTheme="majorHAnsi" w:hAnsiTheme="majorHAnsi" w:cstheme="majorHAnsi"/>
                <w:sz w:val="24"/>
                <w:szCs w:val="24"/>
              </w:rPr>
              <w:br/>
              <w:t>8. (Application Level) Compute depreciation, depletion, and amortization using several methods. (CSLO 2)</w:t>
            </w:r>
          </w:p>
          <w:p w14:paraId="1E8D1D17" w14:textId="77777777" w:rsidR="00E07926" w:rsidRPr="006651FA" w:rsidRDefault="00E07926" w:rsidP="00E3567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E07926" w:rsidRPr="006651FA" w14:paraId="71927C05" w14:textId="77777777" w:rsidTr="00E3567D">
        <w:tc>
          <w:tcPr>
            <w:tcW w:w="9350" w:type="dxa"/>
          </w:tcPr>
          <w:p w14:paraId="247AAA84" w14:textId="4226725C" w:rsidR="00E07926" w:rsidRPr="006651FA" w:rsidRDefault="00A43005" w:rsidP="00E3567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</w:t>
            </w:r>
            <w:r w:rsidR="00E07926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2. </w:t>
            </w:r>
            <w:r w:rsidR="00C51883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>Describe the assessment method used and criteria for successful achievement of student learning outcomes.</w:t>
            </w:r>
            <w:r w:rsidR="006E53FD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(e.g., rubrics, licensing exam</w:t>
            </w:r>
            <w:r w:rsidR="00E07926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, </w:t>
            </w:r>
            <w:r w:rsidR="006E53FD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>internship, portfolio</w:t>
            </w:r>
            <w:r w:rsidR="00E07926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, exam, </w:t>
            </w:r>
            <w:r w:rsidR="00B90C4E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research </w:t>
            </w:r>
            <w:r w:rsidR="00E07926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>paper,</w:t>
            </w:r>
            <w:r w:rsidR="006E53FD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E63ACC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performance exam, </w:t>
            </w:r>
            <w:r w:rsidR="006E53FD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>EAC,</w:t>
            </w:r>
            <w:r w:rsidR="00E07926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etc.)</w:t>
            </w:r>
          </w:p>
          <w:p w14:paraId="65D4D372" w14:textId="77777777" w:rsidR="00816BDB" w:rsidRPr="006651FA" w:rsidRDefault="00816BDB" w:rsidP="00E3567D">
            <w:pPr>
              <w:rPr>
                <w:rFonts w:asciiTheme="majorHAnsi" w:hAnsiTheme="majorHAnsi" w:cstheme="majorHAnsi"/>
                <w:bCs/>
                <w:color w:val="8496B0" w:themeColor="text2" w:themeTint="99"/>
                <w:sz w:val="24"/>
                <w:szCs w:val="24"/>
              </w:rPr>
            </w:pPr>
          </w:p>
          <w:p w14:paraId="2A4343F3" w14:textId="574B5565" w:rsidR="0063088D" w:rsidRPr="00197F5E" w:rsidRDefault="005041BF" w:rsidP="00E3567D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651FA">
              <w:rPr>
                <w:rFonts w:asciiTheme="majorHAnsi" w:hAnsiTheme="majorHAnsi" w:cstheme="majorHAnsi"/>
                <w:bCs/>
                <w:sz w:val="24"/>
                <w:szCs w:val="24"/>
              </w:rPr>
              <w:t>Embedded assessment using multiple questions related to fixed asset accounting.</w:t>
            </w:r>
          </w:p>
        </w:tc>
      </w:tr>
      <w:tr w:rsidR="00E07926" w:rsidRPr="006651FA" w14:paraId="4ED9475B" w14:textId="77777777" w:rsidTr="00E3567D">
        <w:tc>
          <w:tcPr>
            <w:tcW w:w="9350" w:type="dxa"/>
          </w:tcPr>
          <w:p w14:paraId="1BACB53E" w14:textId="4D02C89A" w:rsidR="00E07926" w:rsidRPr="006651FA" w:rsidRDefault="00E07926" w:rsidP="00E3567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3. </w:t>
            </w:r>
            <w:r w:rsidR="00A9102D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>How many students were proficient in the PLOs</w:t>
            </w:r>
            <w:r w:rsidR="00E63ACC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OR MSLOs and</w:t>
            </w:r>
            <w:r w:rsidR="006E53FD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CSLOs</w:t>
            </w:r>
            <w:r w:rsidR="00A9102D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B90C4E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>and how many were not? What was determined as proficient</w:t>
            </w:r>
            <w:r w:rsidR="007016DA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>?</w:t>
            </w:r>
            <w:r w:rsidR="00B90C4E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(</w:t>
            </w:r>
            <w:proofErr w:type="gramStart"/>
            <w:r w:rsidR="007016DA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>i.e.</w:t>
            </w:r>
            <w:proofErr w:type="gramEnd"/>
            <w:r w:rsidR="007016DA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70% = proficient)</w:t>
            </w:r>
            <w:r w:rsidR="0063088D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538280F4" w14:textId="0CC0EB94" w:rsidR="0063088D" w:rsidRPr="006651FA" w:rsidRDefault="00E24AD8" w:rsidP="00E3567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51F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There are 5 multiple-choice questions so if students got 4 or 5 of them correct, </w:t>
            </w:r>
            <w:r w:rsidR="00B40B7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  <w:r w:rsidRPr="006651F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 was counted as a </w:t>
            </w:r>
            <w:r w:rsidR="0044720C" w:rsidRPr="006651F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proficient</w:t>
            </w:r>
            <w:r w:rsidRPr="006651F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 If they got 3, 2, 1, or 0 correct they were unsuccessful.</w:t>
            </w:r>
          </w:p>
          <w:p w14:paraId="61F9FFDA" w14:textId="319719AE" w:rsidR="00E07926" w:rsidRPr="00197F5E" w:rsidRDefault="005507B3" w:rsidP="00197F5E">
            <w:pPr>
              <w:pStyle w:val="NormalWeb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38</w:t>
            </w:r>
            <w:r w:rsidR="000A5DA1" w:rsidRPr="006651F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students completed the questions and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</w:t>
            </w:r>
            <w:r w:rsidR="000A5DA1" w:rsidRPr="006651F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were successful while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19</w:t>
            </w:r>
            <w:r w:rsidR="000A5DA1" w:rsidRPr="006651F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were not</w:t>
            </w:r>
          </w:p>
        </w:tc>
      </w:tr>
      <w:tr w:rsidR="00E07926" w:rsidRPr="006651FA" w14:paraId="5F57EFD7" w14:textId="77777777" w:rsidTr="00E3567D">
        <w:tc>
          <w:tcPr>
            <w:tcW w:w="9350" w:type="dxa"/>
          </w:tcPr>
          <w:p w14:paraId="00933CE3" w14:textId="77777777" w:rsidR="00E07926" w:rsidRPr="006651FA" w:rsidRDefault="00E07926" w:rsidP="00E3567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>4. What changes/improvements were made</w:t>
            </w:r>
            <w:r w:rsidR="00A03040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or will be made</w:t>
            </w:r>
            <w:r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in response to the outcomes</w:t>
            </w:r>
            <w:r w:rsidR="007016DA"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of the assessment process</w:t>
            </w:r>
            <w:r w:rsidRPr="006651FA">
              <w:rPr>
                <w:rFonts w:asciiTheme="majorHAnsi" w:hAnsiTheme="majorHAnsi" w:cstheme="majorHAnsi"/>
                <w:b/>
                <w:sz w:val="24"/>
                <w:szCs w:val="24"/>
              </w:rPr>
              <w:t>?</w:t>
            </w:r>
          </w:p>
          <w:p w14:paraId="5EFB41F9" w14:textId="0509C276" w:rsidR="00E07926" w:rsidRDefault="005507B3" w:rsidP="005507B3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This semester, the students did poorly with the units of production method questions</w:t>
            </w:r>
            <w:r w:rsidR="00564336"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The exams for this semester were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unproctored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and students would be able to refer to their texts for key formulas. For f-2-f classes, we typically work practice problems in </w:t>
            </w:r>
            <w:r w:rsidR="00564336">
              <w:rPr>
                <w:rFonts w:ascii="Calibri" w:hAnsi="Calibri" w:cs="Calibri"/>
                <w:color w:val="000000"/>
                <w:shd w:val="clear" w:color="auto" w:fill="FFFFFF"/>
              </w:rPr>
              <w:t>groups,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and they are discussed. Since both exams were administered via CNOW, students were given access to study guides which stated what topics would be covered. Instructors will </w:t>
            </w:r>
            <w:r w:rsidR="00564336">
              <w:rPr>
                <w:rFonts w:ascii="Calibri" w:hAnsi="Calibri" w:cs="Calibri"/>
                <w:color w:val="000000"/>
                <w:shd w:val="clear" w:color="auto" w:fill="FFFFFF"/>
              </w:rPr>
              <w:t>adjust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as necessary to address the changing modalities. Short screencasts will be used to augment other online tools.</w:t>
            </w:r>
          </w:p>
          <w:p w14:paraId="0D9D1C6B" w14:textId="3A7676A3" w:rsidR="005507B3" w:rsidRPr="00197F5E" w:rsidRDefault="00564336" w:rsidP="00197F5E">
            <w:pPr>
              <w:pStyle w:val="NormalWeb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97F5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Future Evidence:</w:t>
            </w:r>
            <w:r w:rsidRPr="001E0CA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common embedded assessments will continue to be used in ACC201 courses. </w:t>
            </w:r>
          </w:p>
        </w:tc>
      </w:tr>
    </w:tbl>
    <w:p w14:paraId="4B98E312" w14:textId="77777777" w:rsidR="003868CD" w:rsidRPr="006651FA" w:rsidRDefault="003868CD" w:rsidP="00E07926">
      <w:pPr>
        <w:rPr>
          <w:rFonts w:asciiTheme="majorHAnsi" w:hAnsiTheme="majorHAnsi" w:cstheme="majorHAnsi"/>
          <w:i/>
          <w:sz w:val="24"/>
          <w:szCs w:val="24"/>
        </w:rPr>
      </w:pPr>
    </w:p>
    <w:p w14:paraId="434C0CD2" w14:textId="0E39064F" w:rsidR="003868CD" w:rsidRPr="006651FA" w:rsidRDefault="003868CD" w:rsidP="00E07926">
      <w:pPr>
        <w:rPr>
          <w:rFonts w:asciiTheme="majorHAnsi" w:hAnsiTheme="majorHAnsi" w:cstheme="majorHAnsi"/>
          <w:b/>
          <w:i/>
          <w:sz w:val="24"/>
          <w:szCs w:val="24"/>
        </w:rPr>
      </w:pPr>
    </w:p>
    <w:sectPr w:rsidR="003868CD" w:rsidRPr="006651FA" w:rsidSect="00197F5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986D2" w14:textId="77777777" w:rsidR="00955BD8" w:rsidRDefault="00955BD8">
      <w:pPr>
        <w:spacing w:after="0" w:line="240" w:lineRule="auto"/>
      </w:pPr>
      <w:r>
        <w:separator/>
      </w:r>
    </w:p>
  </w:endnote>
  <w:endnote w:type="continuationSeparator" w:id="0">
    <w:p w14:paraId="6E16DD94" w14:textId="77777777" w:rsidR="00955BD8" w:rsidRDefault="0095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7CBF4" w14:textId="77777777" w:rsidR="00955BD8" w:rsidRDefault="00955BD8">
      <w:pPr>
        <w:spacing w:after="0" w:line="240" w:lineRule="auto"/>
      </w:pPr>
      <w:r>
        <w:separator/>
      </w:r>
    </w:p>
  </w:footnote>
  <w:footnote w:type="continuationSeparator" w:id="0">
    <w:p w14:paraId="7F12F8CF" w14:textId="77777777" w:rsidR="00955BD8" w:rsidRDefault="0095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77412" w14:textId="02D03F61" w:rsidR="00E84D9A" w:rsidRDefault="00A9102D">
    <w:pPr>
      <w:pStyle w:val="Header"/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772502FC" wp14:editId="61F07FD8">
          <wp:extent cx="1226046" cy="485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137" cy="489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BC9C5F" w14:textId="77777777" w:rsidR="00E84D9A" w:rsidRDefault="00955B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tTQ0sDCxMDWwtDRX0lEKTi0uzszPAykwrgUAzYRYZywAAAA="/>
  </w:docVars>
  <w:rsids>
    <w:rsidRoot w:val="00E07926"/>
    <w:rsid w:val="000659DA"/>
    <w:rsid w:val="000A5DA1"/>
    <w:rsid w:val="000A6897"/>
    <w:rsid w:val="00133581"/>
    <w:rsid w:val="00183214"/>
    <w:rsid w:val="00197F5E"/>
    <w:rsid w:val="001A1A88"/>
    <w:rsid w:val="001E1395"/>
    <w:rsid w:val="00280F38"/>
    <w:rsid w:val="002B24C6"/>
    <w:rsid w:val="002B51BF"/>
    <w:rsid w:val="002D0EE2"/>
    <w:rsid w:val="003228CC"/>
    <w:rsid w:val="0034433F"/>
    <w:rsid w:val="00354405"/>
    <w:rsid w:val="003868CD"/>
    <w:rsid w:val="003B5528"/>
    <w:rsid w:val="003E7D7D"/>
    <w:rsid w:val="0044720C"/>
    <w:rsid w:val="004560B5"/>
    <w:rsid w:val="004614FA"/>
    <w:rsid w:val="00477CE2"/>
    <w:rsid w:val="00487EF1"/>
    <w:rsid w:val="004A0DA9"/>
    <w:rsid w:val="004C42BF"/>
    <w:rsid w:val="005041BF"/>
    <w:rsid w:val="0052278F"/>
    <w:rsid w:val="005230BD"/>
    <w:rsid w:val="005507B3"/>
    <w:rsid w:val="00564336"/>
    <w:rsid w:val="0063088D"/>
    <w:rsid w:val="006651FA"/>
    <w:rsid w:val="006A044A"/>
    <w:rsid w:val="006E53FD"/>
    <w:rsid w:val="007016DA"/>
    <w:rsid w:val="00723B12"/>
    <w:rsid w:val="00727FBC"/>
    <w:rsid w:val="00745291"/>
    <w:rsid w:val="00816BDB"/>
    <w:rsid w:val="008623BC"/>
    <w:rsid w:val="00894610"/>
    <w:rsid w:val="009058E3"/>
    <w:rsid w:val="00955530"/>
    <w:rsid w:val="00955BD8"/>
    <w:rsid w:val="009A1BCE"/>
    <w:rsid w:val="009C35E1"/>
    <w:rsid w:val="009E2119"/>
    <w:rsid w:val="00A03040"/>
    <w:rsid w:val="00A43005"/>
    <w:rsid w:val="00A54394"/>
    <w:rsid w:val="00A832FA"/>
    <w:rsid w:val="00A9102D"/>
    <w:rsid w:val="00AD2987"/>
    <w:rsid w:val="00B2186B"/>
    <w:rsid w:val="00B40B74"/>
    <w:rsid w:val="00B60C58"/>
    <w:rsid w:val="00B90C4E"/>
    <w:rsid w:val="00C136D9"/>
    <w:rsid w:val="00C22C4E"/>
    <w:rsid w:val="00C51883"/>
    <w:rsid w:val="00DF5033"/>
    <w:rsid w:val="00E07926"/>
    <w:rsid w:val="00E24AD8"/>
    <w:rsid w:val="00E63ACC"/>
    <w:rsid w:val="00E719A9"/>
    <w:rsid w:val="00EB40F5"/>
    <w:rsid w:val="00F327B7"/>
    <w:rsid w:val="00F42992"/>
    <w:rsid w:val="00F5481D"/>
    <w:rsid w:val="00F75AE3"/>
    <w:rsid w:val="00F8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98881"/>
  <w15:docId w15:val="{120B4F72-F523-408F-8EF5-70927B17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926"/>
  </w:style>
  <w:style w:type="paragraph" w:styleId="Footer">
    <w:name w:val="footer"/>
    <w:basedOn w:val="Normal"/>
    <w:link w:val="FooterChar"/>
    <w:uiPriority w:val="99"/>
    <w:unhideWhenUsed/>
    <w:rsid w:val="00E07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926"/>
  </w:style>
  <w:style w:type="paragraph" w:styleId="BalloonText">
    <w:name w:val="Balloon Text"/>
    <w:basedOn w:val="Normal"/>
    <w:link w:val="BalloonTextChar"/>
    <w:uiPriority w:val="99"/>
    <w:semiHidden/>
    <w:unhideWhenUsed/>
    <w:rsid w:val="006E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FD"/>
    <w:rPr>
      <w:rFonts w:ascii="Tahoma" w:hAnsi="Tahoma" w:cs="Tahoma"/>
      <w:sz w:val="16"/>
      <w:szCs w:val="16"/>
    </w:rPr>
  </w:style>
  <w:style w:type="character" w:customStyle="1" w:styleId="Style17">
    <w:name w:val="Style17"/>
    <w:basedOn w:val="DefaultParagraphFont"/>
    <w:uiPriority w:val="1"/>
    <w:rsid w:val="00816BDB"/>
    <w:rPr>
      <w:rFonts w:ascii="Calibri" w:hAnsi="Calibri"/>
      <w:sz w:val="24"/>
      <w:u w:val="thick"/>
    </w:rPr>
  </w:style>
  <w:style w:type="paragraph" w:styleId="NormalWeb">
    <w:name w:val="Normal (Web)"/>
    <w:basedOn w:val="Normal"/>
    <w:uiPriority w:val="99"/>
    <w:unhideWhenUsed/>
    <w:rsid w:val="00EB40F5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94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6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6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0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ion xmlns="0ff702e3-b6ae-4196-a375-e325204bc28b">true</Completion>
    <_Flow_SignoffStatus xmlns="0ff702e3-b6ae-4196-a375-e325204bc2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12712E5D29F4B9445F7C1110FA0A4" ma:contentTypeVersion="8" ma:contentTypeDescription="Create a new document." ma:contentTypeScope="" ma:versionID="34da270b4345db264fb235c0b03fd28a">
  <xsd:schema xmlns:xsd="http://www.w3.org/2001/XMLSchema" xmlns:xs="http://www.w3.org/2001/XMLSchema" xmlns:p="http://schemas.microsoft.com/office/2006/metadata/properties" xmlns:ns2="0ff702e3-b6ae-4196-a375-e325204bc28b" xmlns:ns3="34225417-2831-44ec-ab17-65a6c812fd04" targetNamespace="http://schemas.microsoft.com/office/2006/metadata/properties" ma:root="true" ma:fieldsID="7de6a27828ee300cbe4685181d8cdeb0" ns2:_="" ns3:_="">
    <xsd:import namespace="0ff702e3-b6ae-4196-a375-e325204bc28b"/>
    <xsd:import namespace="34225417-2831-44ec-ab17-65a6c812f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Comple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702e3-b6ae-4196-a375-e325204bc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Completion" ma:index="13" nillable="true" ma:displayName="Completion" ma:default="1" ma:format="Dropdown" ma:internalName="Completion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25417-2831-44ec-ab17-65a6c812f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B2BF7-D6A5-4231-ABEE-81ABC4F9D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11C95-962F-4F51-92F9-F6895523E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DA4D2F-4E4F-4691-96BE-9AE60E57D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Arizona College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Steincamp</dc:creator>
  <cp:lastModifiedBy>Mary Kieser</cp:lastModifiedBy>
  <cp:revision>2</cp:revision>
  <dcterms:created xsi:type="dcterms:W3CDTF">2020-12-15T14:01:00Z</dcterms:created>
  <dcterms:modified xsi:type="dcterms:W3CDTF">2020-12-15T14:01:00Z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0x010100E3D12712E5D29F4B9445F7C1110FA0A4</vt:lpwstr>
  </property>
</Properties>
</file>