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drawings/drawing1.xml" ContentType="application/vnd.openxmlformats-officedocument.drawingml.chartshapes+xml"/>
  <Override PartName="/word/drawings/drawing2.xml" ContentType="application/vnd.openxmlformats-officedocument.drawingml.chartshap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FABBE1" w14:textId="77777777" w:rsidR="00E80C3C" w:rsidRDefault="00E80C3C" w:rsidP="00E80C3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BIO181 c</w:t>
      </w:r>
      <w:r w:rsidRPr="00BA5A86">
        <w:rPr>
          <w:b/>
          <w:sz w:val="36"/>
          <w:szCs w:val="36"/>
        </w:rPr>
        <w:t>ourse assessment data analysis</w:t>
      </w:r>
      <w:r>
        <w:rPr>
          <w:b/>
          <w:sz w:val="36"/>
          <w:szCs w:val="36"/>
        </w:rPr>
        <w:t xml:space="preserve"> of </w:t>
      </w:r>
      <w:r w:rsidR="00D66D40">
        <w:rPr>
          <w:b/>
          <w:sz w:val="36"/>
          <w:szCs w:val="36"/>
        </w:rPr>
        <w:t>Fall</w:t>
      </w:r>
      <w:r>
        <w:rPr>
          <w:b/>
          <w:sz w:val="36"/>
          <w:szCs w:val="36"/>
        </w:rPr>
        <w:t xml:space="preserve"> 2020</w:t>
      </w:r>
    </w:p>
    <w:p w14:paraId="24068839" w14:textId="77777777" w:rsidR="00306ACB" w:rsidRDefault="00306ACB" w:rsidP="00E80C3C">
      <w:pPr>
        <w:jc w:val="center"/>
        <w:rPr>
          <w:b/>
          <w:sz w:val="36"/>
          <w:szCs w:val="36"/>
        </w:rPr>
      </w:pPr>
      <w:r>
        <w:rPr>
          <w:noProof/>
        </w:rPr>
        <w:drawing>
          <wp:inline distT="0" distB="0" distL="0" distR="0" wp14:anchorId="20E7F208" wp14:editId="7D3CDBC5">
            <wp:extent cx="8229600" cy="3110865"/>
            <wp:effectExtent l="0" t="0" r="0" b="13335"/>
            <wp:docPr id="9" name="Chart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29A4B253" w14:textId="77777777" w:rsidR="00CE6E1C" w:rsidRPr="00E80C3C" w:rsidRDefault="002C2E0A" w:rsidP="00E80C3C">
      <w:pPr>
        <w:jc w:val="center"/>
      </w:pPr>
      <w:r>
        <w:rPr>
          <w:noProof/>
        </w:rPr>
        <w:lastRenderedPageBreak/>
        <w:drawing>
          <wp:inline distT="0" distB="0" distL="0" distR="0" wp14:anchorId="22C7FD9E" wp14:editId="6D596359">
            <wp:extent cx="5005070" cy="2613546"/>
            <wp:effectExtent l="0" t="0" r="508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7507" cy="2620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E59D5CC" w14:textId="77777777" w:rsidR="00E80C3C" w:rsidRDefault="00E80C3C" w:rsidP="00E80C3C">
      <w:pPr>
        <w:jc w:val="center"/>
        <w:rPr>
          <w:noProof/>
        </w:rPr>
      </w:pPr>
    </w:p>
    <w:p w14:paraId="476BBD10" w14:textId="77777777" w:rsidR="00CE6E1C" w:rsidRDefault="00CE6E1C" w:rsidP="00CE6E1C">
      <w:r>
        <w:t>Figure1. Average number of ques</w:t>
      </w:r>
      <w:r w:rsidR="002C2E0A">
        <w:t>tions answered correctly from126</w:t>
      </w:r>
      <w:r>
        <w:t xml:space="preserve"> students out</w:t>
      </w:r>
      <w:r w:rsidR="002C2E0A">
        <w:t xml:space="preserve"> of 20 questions from the Fall</w:t>
      </w:r>
      <w:r>
        <w:t xml:space="preserve"> 2020 assessment test.</w:t>
      </w:r>
    </w:p>
    <w:p w14:paraId="0B40F35F" w14:textId="77777777" w:rsidR="002C2E0A" w:rsidRDefault="002C2E0A" w:rsidP="00CE6E1C">
      <w:r>
        <w:t>Total 126</w:t>
      </w:r>
      <w:r w:rsidR="00CE6E1C">
        <w:t xml:space="preserve"> </w:t>
      </w:r>
      <w:r>
        <w:t>students took the test on Fall</w:t>
      </w:r>
      <w:r w:rsidR="00CE6E1C">
        <w:t xml:space="preserve"> 2020</w:t>
      </w:r>
      <w:r>
        <w:t xml:space="preserve"> online class</w:t>
      </w:r>
      <w:r w:rsidR="00CE6E1C">
        <w:t>. Average number of questi</w:t>
      </w:r>
      <w:r>
        <w:t>ons answered correctly were 12.77. About 6</w:t>
      </w:r>
      <w:r w:rsidR="00CE6E1C">
        <w:t>0% of questions were correctly</w:t>
      </w:r>
      <w:r w:rsidR="009E24BC">
        <w:t xml:space="preserve"> answered</w:t>
      </w:r>
      <w:r w:rsidR="00CE6E1C">
        <w:t>.</w:t>
      </w:r>
      <w:r w:rsidR="009E24BC">
        <w:t xml:space="preserve"> This result is very similar wi</w:t>
      </w:r>
      <w:r>
        <w:t>th the data from the spring 2020 and higher than</w:t>
      </w:r>
      <w:r w:rsidR="009E24BC">
        <w:t xml:space="preserve"> in person classes.</w:t>
      </w:r>
      <w:r w:rsidR="00CE6E1C">
        <w:t xml:space="preserve"> It indicates that switch to online on spring 2020 didn’t cause adverse effect</w:t>
      </w:r>
      <w:r>
        <w:t xml:space="preserve">. </w:t>
      </w:r>
    </w:p>
    <w:p w14:paraId="55C52DD8" w14:textId="77777777" w:rsidR="00CE6E1C" w:rsidRDefault="00CE6E1C" w:rsidP="00CE6E1C">
      <w:r>
        <w:t>Take-home message from the data:</w:t>
      </w:r>
    </w:p>
    <w:p w14:paraId="087CA95D" w14:textId="77777777" w:rsidR="00CE6E1C" w:rsidRDefault="00CE6E1C" w:rsidP="009E24BC">
      <w:pPr>
        <w:pStyle w:val="ListParagraph"/>
        <w:numPr>
          <w:ilvl w:val="0"/>
          <w:numId w:val="1"/>
        </w:numPr>
      </w:pPr>
      <w:r>
        <w:t xml:space="preserve">How to increase the number of questions answered correctly from 10 (50%) to more than 14 (70%) out of 20 total questions in the future.      </w:t>
      </w:r>
    </w:p>
    <w:p w14:paraId="317A0BDC" w14:textId="77777777" w:rsidR="00CE6E1C" w:rsidRDefault="00CE6E1C" w:rsidP="00CE6E1C">
      <w:pPr>
        <w:jc w:val="center"/>
      </w:pPr>
    </w:p>
    <w:p w14:paraId="3225BDCE" w14:textId="77777777" w:rsidR="00CE6E1C" w:rsidRDefault="00CE6E1C" w:rsidP="00E80C3C">
      <w:pPr>
        <w:jc w:val="center"/>
        <w:rPr>
          <w:noProof/>
        </w:rPr>
      </w:pPr>
    </w:p>
    <w:p w14:paraId="6CEF5B3B" w14:textId="77777777" w:rsidR="00E80C3C" w:rsidRDefault="002C2E0A" w:rsidP="00E80C3C">
      <w:pPr>
        <w:jc w:val="center"/>
        <w:rPr>
          <w:b/>
          <w:sz w:val="36"/>
          <w:szCs w:val="3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9453C14" wp14:editId="101E90BA">
                <wp:simplePos x="0" y="0"/>
                <wp:positionH relativeFrom="column">
                  <wp:posOffset>4016233</wp:posOffset>
                </wp:positionH>
                <wp:positionV relativeFrom="paragraph">
                  <wp:posOffset>1026890</wp:posOffset>
                </wp:positionV>
                <wp:extent cx="552450" cy="1990725"/>
                <wp:effectExtent l="0" t="0" r="19050" b="28575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199072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B5AF3F5" id="Oval 6" o:spid="_x0000_s1026" style="position:absolute;margin-left:316.25pt;margin-top:80.85pt;width:43.5pt;height:156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" filled="f" strokecolor="red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FA2F1A7" wp14:editId="291D9BD0">
                <wp:simplePos x="0" y="0"/>
                <wp:positionH relativeFrom="column">
                  <wp:posOffset>3650065</wp:posOffset>
                </wp:positionH>
                <wp:positionV relativeFrom="paragraph">
                  <wp:posOffset>1714993</wp:posOffset>
                </wp:positionV>
                <wp:extent cx="295275" cy="1304925"/>
                <wp:effectExtent l="0" t="0" r="28575" b="28575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1304925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0B86C3B" id="Oval 5" o:spid="_x0000_s1026" style="position:absolute;margin-left:287.4pt;margin-top:135.05pt;width:23.25pt;height:102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" filled="f" strokecolor="red" strokeweight="1pt">
                <v:stroke joinstyle="miter"/>
              </v:oval>
            </w:pict>
          </mc:Fallback>
        </mc:AlternateContent>
      </w:r>
      <w:r w:rsidRPr="009E24BC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EF560C" wp14:editId="4BC5023F">
                <wp:simplePos x="0" y="0"/>
                <wp:positionH relativeFrom="column">
                  <wp:posOffset>2396177</wp:posOffset>
                </wp:positionH>
                <wp:positionV relativeFrom="paragraph">
                  <wp:posOffset>1693886</wp:posOffset>
                </wp:positionV>
                <wp:extent cx="295275" cy="1304925"/>
                <wp:effectExtent l="0" t="0" r="28575" b="28575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130492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40CAC5A" id="Oval 4" o:spid="_x0000_s1026" style="position:absolute;margin-left:188.7pt;margin-top:133.4pt;width:23.25pt;height:10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" filled="f" strokecolor="red">
                <v:stroke joinstyle="miter"/>
              </v:oval>
            </w:pict>
          </mc:Fallback>
        </mc:AlternateContent>
      </w:r>
      <w:r>
        <w:rPr>
          <w:noProof/>
        </w:rPr>
        <w:drawing>
          <wp:inline distT="0" distB="0" distL="0" distR="0" wp14:anchorId="5FF3F656" wp14:editId="2D3E3E13">
            <wp:extent cx="8229600" cy="3293745"/>
            <wp:effectExtent l="0" t="0" r="0" b="1905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358BC6A4" w14:textId="77777777" w:rsidR="000A565B" w:rsidRDefault="000A565B" w:rsidP="000A565B">
      <w:r>
        <w:t xml:space="preserve">Figure 2. Number of students (%) answered correctly in each question. </w:t>
      </w:r>
    </w:p>
    <w:p w14:paraId="4E50641C" w14:textId="77777777" w:rsidR="00E80C3C" w:rsidRDefault="00E80C3C" w:rsidP="00E80C3C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1"/>
        <w:gridCol w:w="5073"/>
        <w:gridCol w:w="1147"/>
        <w:gridCol w:w="1384"/>
        <w:gridCol w:w="1890"/>
      </w:tblGrid>
      <w:tr w:rsidR="005D151D" w14:paraId="273D5351" w14:textId="77777777" w:rsidTr="008C6C9A">
        <w:tc>
          <w:tcPr>
            <w:tcW w:w="1031" w:type="dxa"/>
          </w:tcPr>
          <w:p w14:paraId="7D1D5A8A" w14:textId="77777777" w:rsidR="005D151D" w:rsidRDefault="005D151D" w:rsidP="0014117E">
            <w:pPr>
              <w:jc w:val="center"/>
            </w:pPr>
            <w:r>
              <w:t>Question #</w:t>
            </w:r>
          </w:p>
        </w:tc>
        <w:tc>
          <w:tcPr>
            <w:tcW w:w="5073" w:type="dxa"/>
          </w:tcPr>
          <w:p w14:paraId="6A274E33" w14:textId="77777777" w:rsidR="005D151D" w:rsidRDefault="004B50BF" w:rsidP="0014117E">
            <w:pPr>
              <w:jc w:val="center"/>
            </w:pPr>
            <w:r>
              <w:t>Learning objective</w:t>
            </w:r>
          </w:p>
        </w:tc>
        <w:tc>
          <w:tcPr>
            <w:tcW w:w="1147" w:type="dxa"/>
          </w:tcPr>
          <w:p w14:paraId="00EFF44A" w14:textId="77777777" w:rsidR="005D151D" w:rsidRDefault="005D151D" w:rsidP="0014117E">
            <w:pPr>
              <w:jc w:val="center"/>
            </w:pPr>
            <w:r>
              <w:t>MSLO</w:t>
            </w:r>
          </w:p>
        </w:tc>
        <w:tc>
          <w:tcPr>
            <w:tcW w:w="1384" w:type="dxa"/>
          </w:tcPr>
          <w:p w14:paraId="107B74BB" w14:textId="77777777" w:rsidR="005D151D" w:rsidRDefault="005D151D" w:rsidP="0014117E">
            <w:pPr>
              <w:jc w:val="center"/>
            </w:pPr>
            <w:r>
              <w:t>CSLO</w:t>
            </w:r>
          </w:p>
        </w:tc>
        <w:tc>
          <w:tcPr>
            <w:tcW w:w="1890" w:type="dxa"/>
          </w:tcPr>
          <w:p w14:paraId="6B39E61A" w14:textId="77777777" w:rsidR="005D151D" w:rsidRDefault="005D151D" w:rsidP="0014117E">
            <w:pPr>
              <w:jc w:val="center"/>
            </w:pPr>
            <w:r>
              <w:t>Number of student answer correctly (%)</w:t>
            </w:r>
          </w:p>
        </w:tc>
      </w:tr>
      <w:tr w:rsidR="005D151D" w14:paraId="7AC17242" w14:textId="77777777" w:rsidTr="008C6C9A">
        <w:tc>
          <w:tcPr>
            <w:tcW w:w="1031" w:type="dxa"/>
          </w:tcPr>
          <w:p w14:paraId="76B220D1" w14:textId="77777777" w:rsidR="005D151D" w:rsidRDefault="005D151D" w:rsidP="0014117E">
            <w:r>
              <w:t>1</w:t>
            </w:r>
          </w:p>
        </w:tc>
        <w:tc>
          <w:tcPr>
            <w:tcW w:w="5073" w:type="dxa"/>
          </w:tcPr>
          <w:p w14:paraId="2AA1DC53" w14:textId="77777777" w:rsidR="005D151D" w:rsidRDefault="004B50BF" w:rsidP="0014117E"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Seven themes of life</w:t>
            </w:r>
          </w:p>
        </w:tc>
        <w:tc>
          <w:tcPr>
            <w:tcW w:w="1147" w:type="dxa"/>
          </w:tcPr>
          <w:p w14:paraId="1E8E334C" w14:textId="77777777" w:rsidR="005D151D" w:rsidRDefault="005D151D" w:rsidP="0014117E">
            <w:r>
              <w:t>MSLO1</w:t>
            </w:r>
          </w:p>
        </w:tc>
        <w:tc>
          <w:tcPr>
            <w:tcW w:w="1384" w:type="dxa"/>
          </w:tcPr>
          <w:p w14:paraId="5052A79A" w14:textId="77777777" w:rsidR="005D151D" w:rsidRDefault="005D151D" w:rsidP="0014117E">
            <w:r>
              <w:t>CSLO2 &amp;4</w:t>
            </w:r>
          </w:p>
        </w:tc>
        <w:tc>
          <w:tcPr>
            <w:tcW w:w="1890" w:type="dxa"/>
          </w:tcPr>
          <w:p w14:paraId="0DF4933E" w14:textId="77777777" w:rsidR="005D151D" w:rsidRDefault="008C6C9A" w:rsidP="0014117E">
            <w:r>
              <w:t>59</w:t>
            </w:r>
          </w:p>
        </w:tc>
      </w:tr>
      <w:tr w:rsidR="005D151D" w14:paraId="483548B4" w14:textId="77777777" w:rsidTr="008C6C9A">
        <w:tc>
          <w:tcPr>
            <w:tcW w:w="1031" w:type="dxa"/>
          </w:tcPr>
          <w:p w14:paraId="6A494BC7" w14:textId="77777777" w:rsidR="005D151D" w:rsidRDefault="005D151D" w:rsidP="0014117E">
            <w:r>
              <w:t>2</w:t>
            </w:r>
          </w:p>
        </w:tc>
        <w:tc>
          <w:tcPr>
            <w:tcW w:w="5073" w:type="dxa"/>
          </w:tcPr>
          <w:p w14:paraId="18ED1099" w14:textId="77777777" w:rsidR="005D151D" w:rsidRPr="00A778F7" w:rsidRDefault="004B50BF" w:rsidP="0014117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Scientific hypothesis and method</w:t>
            </w:r>
          </w:p>
          <w:p w14:paraId="59A2885C" w14:textId="77777777" w:rsidR="005D151D" w:rsidRPr="005B722E" w:rsidRDefault="005D151D" w:rsidP="0014117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778F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                 </w:t>
            </w:r>
            <w:r w:rsidRPr="00A778F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</w:t>
            </w:r>
          </w:p>
        </w:tc>
        <w:tc>
          <w:tcPr>
            <w:tcW w:w="1147" w:type="dxa"/>
          </w:tcPr>
          <w:p w14:paraId="4B5615E6" w14:textId="77777777" w:rsidR="005D151D" w:rsidRDefault="005D151D" w:rsidP="0014117E">
            <w:r>
              <w:t>MSLO2 &amp;3</w:t>
            </w:r>
          </w:p>
        </w:tc>
        <w:tc>
          <w:tcPr>
            <w:tcW w:w="1384" w:type="dxa"/>
          </w:tcPr>
          <w:p w14:paraId="409308A6" w14:textId="77777777" w:rsidR="005D151D" w:rsidRDefault="005D151D" w:rsidP="0014117E">
            <w:r>
              <w:t>CSLO2 &amp;4</w:t>
            </w:r>
          </w:p>
        </w:tc>
        <w:tc>
          <w:tcPr>
            <w:tcW w:w="1890" w:type="dxa"/>
          </w:tcPr>
          <w:p w14:paraId="63BF97F4" w14:textId="77777777" w:rsidR="005D151D" w:rsidRDefault="008C6C9A" w:rsidP="0014117E">
            <w:r>
              <w:t>61</w:t>
            </w:r>
          </w:p>
        </w:tc>
      </w:tr>
      <w:tr w:rsidR="005D151D" w14:paraId="4AE3C7A4" w14:textId="77777777" w:rsidTr="008C6C9A">
        <w:tc>
          <w:tcPr>
            <w:tcW w:w="1031" w:type="dxa"/>
          </w:tcPr>
          <w:p w14:paraId="3F32EBCB" w14:textId="77777777" w:rsidR="005D151D" w:rsidRDefault="005D151D" w:rsidP="0014117E">
            <w:r>
              <w:t>3</w:t>
            </w:r>
          </w:p>
        </w:tc>
        <w:tc>
          <w:tcPr>
            <w:tcW w:w="5073" w:type="dxa"/>
          </w:tcPr>
          <w:p w14:paraId="1F8CB2C0" w14:textId="77777777" w:rsidR="005D151D" w:rsidRDefault="004B50BF" w:rsidP="0014117E"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pH</w:t>
            </w:r>
          </w:p>
        </w:tc>
        <w:tc>
          <w:tcPr>
            <w:tcW w:w="1147" w:type="dxa"/>
          </w:tcPr>
          <w:p w14:paraId="73B227B8" w14:textId="77777777" w:rsidR="005D151D" w:rsidRDefault="005D151D" w:rsidP="0014117E">
            <w:r>
              <w:t>MSLO4</w:t>
            </w:r>
          </w:p>
        </w:tc>
        <w:tc>
          <w:tcPr>
            <w:tcW w:w="1384" w:type="dxa"/>
          </w:tcPr>
          <w:p w14:paraId="14AAB1FC" w14:textId="77777777" w:rsidR="005D151D" w:rsidRDefault="005D151D" w:rsidP="0014117E">
            <w:r>
              <w:t>CSLO2 &amp;4</w:t>
            </w:r>
          </w:p>
        </w:tc>
        <w:tc>
          <w:tcPr>
            <w:tcW w:w="1890" w:type="dxa"/>
          </w:tcPr>
          <w:p w14:paraId="737AD900" w14:textId="77777777" w:rsidR="005D151D" w:rsidRPr="00E5179C" w:rsidRDefault="008C6C9A" w:rsidP="00E5179C">
            <w:r>
              <w:t>61</w:t>
            </w:r>
          </w:p>
        </w:tc>
      </w:tr>
      <w:tr w:rsidR="005D151D" w14:paraId="46BB0DF1" w14:textId="77777777" w:rsidTr="008C6C9A">
        <w:tc>
          <w:tcPr>
            <w:tcW w:w="1031" w:type="dxa"/>
          </w:tcPr>
          <w:p w14:paraId="1F6EB51F" w14:textId="77777777" w:rsidR="005D151D" w:rsidRDefault="005D151D" w:rsidP="0014117E">
            <w:r>
              <w:t>4</w:t>
            </w:r>
          </w:p>
        </w:tc>
        <w:tc>
          <w:tcPr>
            <w:tcW w:w="5073" w:type="dxa"/>
          </w:tcPr>
          <w:p w14:paraId="7527383B" w14:textId="77777777" w:rsidR="005D151D" w:rsidRDefault="004B50BF" w:rsidP="0014117E"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Carbon character</w:t>
            </w:r>
          </w:p>
        </w:tc>
        <w:tc>
          <w:tcPr>
            <w:tcW w:w="1147" w:type="dxa"/>
          </w:tcPr>
          <w:p w14:paraId="7CA524B1" w14:textId="77777777" w:rsidR="005D151D" w:rsidRDefault="005D151D" w:rsidP="0014117E">
            <w:r>
              <w:t>MSLO4</w:t>
            </w:r>
          </w:p>
        </w:tc>
        <w:tc>
          <w:tcPr>
            <w:tcW w:w="1384" w:type="dxa"/>
          </w:tcPr>
          <w:p w14:paraId="667DA4D7" w14:textId="77777777" w:rsidR="005D151D" w:rsidRDefault="005D151D" w:rsidP="0014117E">
            <w:r>
              <w:t>CSLO2</w:t>
            </w:r>
          </w:p>
        </w:tc>
        <w:tc>
          <w:tcPr>
            <w:tcW w:w="1890" w:type="dxa"/>
          </w:tcPr>
          <w:p w14:paraId="7D29C6C2" w14:textId="77777777" w:rsidR="005D151D" w:rsidRDefault="008C6C9A" w:rsidP="0014117E">
            <w:r>
              <w:t>68</w:t>
            </w:r>
          </w:p>
        </w:tc>
      </w:tr>
      <w:tr w:rsidR="005D151D" w14:paraId="206254A7" w14:textId="77777777" w:rsidTr="0029138D">
        <w:tc>
          <w:tcPr>
            <w:tcW w:w="1031" w:type="dxa"/>
            <w:shd w:val="clear" w:color="auto" w:fill="C00000"/>
          </w:tcPr>
          <w:p w14:paraId="1112ADFF" w14:textId="77777777" w:rsidR="005D151D" w:rsidRDefault="005D151D" w:rsidP="0014117E">
            <w:r>
              <w:t>5</w:t>
            </w:r>
          </w:p>
        </w:tc>
        <w:tc>
          <w:tcPr>
            <w:tcW w:w="5073" w:type="dxa"/>
            <w:shd w:val="clear" w:color="auto" w:fill="C00000"/>
          </w:tcPr>
          <w:p w14:paraId="14A9C224" w14:textId="77777777" w:rsidR="005D151D" w:rsidRDefault="004B50BF" w:rsidP="0014117E">
            <w:pPr>
              <w:ind w:left="-16" w:firstLine="2"/>
              <w:jc w:val="both"/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Property of the H2O</w:t>
            </w:r>
          </w:p>
        </w:tc>
        <w:tc>
          <w:tcPr>
            <w:tcW w:w="1147" w:type="dxa"/>
            <w:shd w:val="clear" w:color="auto" w:fill="C00000"/>
          </w:tcPr>
          <w:p w14:paraId="4F89A2E3" w14:textId="77777777" w:rsidR="005D151D" w:rsidRDefault="005D151D" w:rsidP="0014117E">
            <w:r>
              <w:t>MSLO5</w:t>
            </w:r>
          </w:p>
        </w:tc>
        <w:tc>
          <w:tcPr>
            <w:tcW w:w="1384" w:type="dxa"/>
            <w:shd w:val="clear" w:color="auto" w:fill="C00000"/>
          </w:tcPr>
          <w:p w14:paraId="6E3AC710" w14:textId="77777777" w:rsidR="005D151D" w:rsidRDefault="005D151D" w:rsidP="0014117E">
            <w:r>
              <w:t>CSLO2</w:t>
            </w:r>
          </w:p>
        </w:tc>
        <w:tc>
          <w:tcPr>
            <w:tcW w:w="1890" w:type="dxa"/>
            <w:shd w:val="clear" w:color="auto" w:fill="C00000"/>
          </w:tcPr>
          <w:p w14:paraId="5FF3A087" w14:textId="77777777" w:rsidR="005D151D" w:rsidRDefault="008C6C9A" w:rsidP="0014117E">
            <w:r>
              <w:t>43</w:t>
            </w:r>
          </w:p>
        </w:tc>
      </w:tr>
      <w:tr w:rsidR="005D151D" w14:paraId="0F766403" w14:textId="77777777" w:rsidTr="008C6C9A">
        <w:tc>
          <w:tcPr>
            <w:tcW w:w="1031" w:type="dxa"/>
          </w:tcPr>
          <w:p w14:paraId="77565CF0" w14:textId="77777777" w:rsidR="005D151D" w:rsidRDefault="005D151D" w:rsidP="0014117E">
            <w:r>
              <w:t>6</w:t>
            </w:r>
          </w:p>
        </w:tc>
        <w:tc>
          <w:tcPr>
            <w:tcW w:w="5073" w:type="dxa"/>
          </w:tcPr>
          <w:p w14:paraId="47384DF6" w14:textId="77777777" w:rsidR="005D151D" w:rsidRDefault="004B50BF" w:rsidP="0014117E"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Macromolecule</w:t>
            </w:r>
          </w:p>
        </w:tc>
        <w:tc>
          <w:tcPr>
            <w:tcW w:w="1147" w:type="dxa"/>
          </w:tcPr>
          <w:p w14:paraId="5613AA10" w14:textId="77777777" w:rsidR="005D151D" w:rsidRDefault="005D151D" w:rsidP="0014117E">
            <w:r>
              <w:t>MSLO6</w:t>
            </w:r>
          </w:p>
        </w:tc>
        <w:tc>
          <w:tcPr>
            <w:tcW w:w="1384" w:type="dxa"/>
          </w:tcPr>
          <w:p w14:paraId="4B6FFD88" w14:textId="77777777" w:rsidR="005D151D" w:rsidRDefault="005D151D" w:rsidP="0014117E">
            <w:r>
              <w:t>CSLO2 &amp;4</w:t>
            </w:r>
          </w:p>
        </w:tc>
        <w:tc>
          <w:tcPr>
            <w:tcW w:w="1890" w:type="dxa"/>
          </w:tcPr>
          <w:p w14:paraId="225E1C74" w14:textId="77777777" w:rsidR="005D151D" w:rsidRDefault="008C6C9A" w:rsidP="0014117E">
            <w:r>
              <w:t>58</w:t>
            </w:r>
          </w:p>
        </w:tc>
      </w:tr>
      <w:tr w:rsidR="005D151D" w14:paraId="7100174F" w14:textId="77777777" w:rsidTr="008C6C9A">
        <w:tc>
          <w:tcPr>
            <w:tcW w:w="1031" w:type="dxa"/>
          </w:tcPr>
          <w:p w14:paraId="4BE780B6" w14:textId="77777777" w:rsidR="005D151D" w:rsidRDefault="005D151D" w:rsidP="0014117E">
            <w:r>
              <w:t>7</w:t>
            </w:r>
          </w:p>
        </w:tc>
        <w:tc>
          <w:tcPr>
            <w:tcW w:w="5073" w:type="dxa"/>
          </w:tcPr>
          <w:p w14:paraId="0B4193BF" w14:textId="77777777" w:rsidR="005D151D" w:rsidRPr="005B722E" w:rsidRDefault="004B50BF" w:rsidP="0014117E">
            <w:pPr>
              <w:ind w:left="29" w:hanging="29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Organelles</w:t>
            </w:r>
          </w:p>
        </w:tc>
        <w:tc>
          <w:tcPr>
            <w:tcW w:w="1147" w:type="dxa"/>
          </w:tcPr>
          <w:p w14:paraId="6DCDC0C1" w14:textId="77777777" w:rsidR="005D151D" w:rsidRDefault="005D151D" w:rsidP="0014117E">
            <w:r>
              <w:t>MSLO7</w:t>
            </w:r>
          </w:p>
        </w:tc>
        <w:tc>
          <w:tcPr>
            <w:tcW w:w="1384" w:type="dxa"/>
          </w:tcPr>
          <w:p w14:paraId="09689910" w14:textId="77777777" w:rsidR="005D151D" w:rsidRDefault="005D151D" w:rsidP="0014117E">
            <w:r>
              <w:t>CSLO2</w:t>
            </w:r>
          </w:p>
        </w:tc>
        <w:tc>
          <w:tcPr>
            <w:tcW w:w="1890" w:type="dxa"/>
          </w:tcPr>
          <w:p w14:paraId="0CC4B27D" w14:textId="77777777" w:rsidR="005D151D" w:rsidRDefault="008C6C9A" w:rsidP="0014117E">
            <w:r>
              <w:t>72</w:t>
            </w:r>
          </w:p>
        </w:tc>
      </w:tr>
      <w:tr w:rsidR="005D151D" w14:paraId="08EA060B" w14:textId="77777777" w:rsidTr="008C6C9A">
        <w:tc>
          <w:tcPr>
            <w:tcW w:w="1031" w:type="dxa"/>
          </w:tcPr>
          <w:p w14:paraId="2B8B30DB" w14:textId="77777777" w:rsidR="005D151D" w:rsidRDefault="005D151D" w:rsidP="0014117E">
            <w:r>
              <w:lastRenderedPageBreak/>
              <w:t>8</w:t>
            </w:r>
          </w:p>
        </w:tc>
        <w:tc>
          <w:tcPr>
            <w:tcW w:w="5073" w:type="dxa"/>
          </w:tcPr>
          <w:p w14:paraId="15DDFE7A" w14:textId="77777777" w:rsidR="005D151D" w:rsidRDefault="004B50BF" w:rsidP="0014117E"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Organelles</w:t>
            </w:r>
          </w:p>
        </w:tc>
        <w:tc>
          <w:tcPr>
            <w:tcW w:w="1147" w:type="dxa"/>
          </w:tcPr>
          <w:p w14:paraId="00785BA7" w14:textId="77777777" w:rsidR="005D151D" w:rsidRDefault="005D151D" w:rsidP="0014117E">
            <w:r>
              <w:t>MSLO7</w:t>
            </w:r>
          </w:p>
        </w:tc>
        <w:tc>
          <w:tcPr>
            <w:tcW w:w="1384" w:type="dxa"/>
          </w:tcPr>
          <w:p w14:paraId="2460B42A" w14:textId="77777777" w:rsidR="005D151D" w:rsidRDefault="005D151D" w:rsidP="0014117E">
            <w:r>
              <w:t>CSLO2</w:t>
            </w:r>
          </w:p>
        </w:tc>
        <w:tc>
          <w:tcPr>
            <w:tcW w:w="1890" w:type="dxa"/>
          </w:tcPr>
          <w:p w14:paraId="2CEC8654" w14:textId="77777777" w:rsidR="005D151D" w:rsidRDefault="008C6C9A" w:rsidP="0014117E">
            <w:r>
              <w:t>79</w:t>
            </w:r>
          </w:p>
        </w:tc>
      </w:tr>
      <w:tr w:rsidR="005D151D" w14:paraId="51B02811" w14:textId="77777777" w:rsidTr="0029138D">
        <w:tc>
          <w:tcPr>
            <w:tcW w:w="1031" w:type="dxa"/>
            <w:shd w:val="clear" w:color="auto" w:fill="C00000"/>
          </w:tcPr>
          <w:p w14:paraId="14F694B3" w14:textId="77777777" w:rsidR="005D151D" w:rsidRDefault="005D151D" w:rsidP="0014117E">
            <w:r>
              <w:t>9</w:t>
            </w:r>
          </w:p>
        </w:tc>
        <w:tc>
          <w:tcPr>
            <w:tcW w:w="5073" w:type="dxa"/>
            <w:shd w:val="clear" w:color="auto" w:fill="C00000"/>
          </w:tcPr>
          <w:p w14:paraId="52B357CD" w14:textId="77777777" w:rsidR="005D151D" w:rsidRDefault="004B50BF" w:rsidP="0014117E"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Membrane structure</w:t>
            </w:r>
          </w:p>
        </w:tc>
        <w:tc>
          <w:tcPr>
            <w:tcW w:w="1147" w:type="dxa"/>
            <w:shd w:val="clear" w:color="auto" w:fill="C00000"/>
          </w:tcPr>
          <w:p w14:paraId="453C4194" w14:textId="77777777" w:rsidR="005D151D" w:rsidRDefault="005D151D" w:rsidP="0014117E">
            <w:r>
              <w:t>MSLO8</w:t>
            </w:r>
          </w:p>
        </w:tc>
        <w:tc>
          <w:tcPr>
            <w:tcW w:w="1384" w:type="dxa"/>
            <w:shd w:val="clear" w:color="auto" w:fill="C00000"/>
          </w:tcPr>
          <w:p w14:paraId="33ACB4B7" w14:textId="77777777" w:rsidR="005D151D" w:rsidRDefault="005D151D" w:rsidP="0014117E">
            <w:r>
              <w:t>CSLO2</w:t>
            </w:r>
          </w:p>
        </w:tc>
        <w:tc>
          <w:tcPr>
            <w:tcW w:w="1890" w:type="dxa"/>
            <w:shd w:val="clear" w:color="auto" w:fill="C00000"/>
          </w:tcPr>
          <w:p w14:paraId="039DA42E" w14:textId="77777777" w:rsidR="005D151D" w:rsidRDefault="008C6C9A" w:rsidP="0014117E">
            <w:r>
              <w:t>36</w:t>
            </w:r>
          </w:p>
        </w:tc>
      </w:tr>
      <w:tr w:rsidR="005D151D" w14:paraId="1401B0D9" w14:textId="77777777" w:rsidTr="0039078F">
        <w:tc>
          <w:tcPr>
            <w:tcW w:w="1031" w:type="dxa"/>
            <w:shd w:val="clear" w:color="auto" w:fill="FFFF00"/>
          </w:tcPr>
          <w:p w14:paraId="6DFDE638" w14:textId="77777777" w:rsidR="005D151D" w:rsidRDefault="005D151D" w:rsidP="0014117E">
            <w:r>
              <w:t>10</w:t>
            </w:r>
          </w:p>
        </w:tc>
        <w:tc>
          <w:tcPr>
            <w:tcW w:w="5073" w:type="dxa"/>
            <w:shd w:val="clear" w:color="auto" w:fill="FFFF00"/>
          </w:tcPr>
          <w:p w14:paraId="4075EE93" w14:textId="77777777" w:rsidR="005D151D" w:rsidRPr="005B722E" w:rsidRDefault="004B50BF" w:rsidP="0014117E">
            <w:pPr>
              <w:ind w:hanging="2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Cellular respiration</w:t>
            </w:r>
          </w:p>
        </w:tc>
        <w:tc>
          <w:tcPr>
            <w:tcW w:w="1147" w:type="dxa"/>
            <w:shd w:val="clear" w:color="auto" w:fill="FFFF00"/>
          </w:tcPr>
          <w:p w14:paraId="074E5D8A" w14:textId="77777777" w:rsidR="005D151D" w:rsidRDefault="005D151D" w:rsidP="0014117E">
            <w:r>
              <w:t>MSLO9</w:t>
            </w:r>
          </w:p>
        </w:tc>
        <w:tc>
          <w:tcPr>
            <w:tcW w:w="1384" w:type="dxa"/>
            <w:shd w:val="clear" w:color="auto" w:fill="FFFF00"/>
          </w:tcPr>
          <w:p w14:paraId="64672C54" w14:textId="77777777" w:rsidR="005D151D" w:rsidRDefault="005D151D" w:rsidP="0014117E">
            <w:r>
              <w:t>CSLO2</w:t>
            </w:r>
          </w:p>
        </w:tc>
        <w:tc>
          <w:tcPr>
            <w:tcW w:w="1890" w:type="dxa"/>
            <w:shd w:val="clear" w:color="auto" w:fill="FFFF00"/>
          </w:tcPr>
          <w:p w14:paraId="651C915E" w14:textId="77777777" w:rsidR="005D151D" w:rsidRDefault="008C6C9A" w:rsidP="0014117E">
            <w:r>
              <w:t>32</w:t>
            </w:r>
          </w:p>
        </w:tc>
      </w:tr>
      <w:tr w:rsidR="005D151D" w14:paraId="71BB3FC6" w14:textId="77777777" w:rsidTr="0039078F">
        <w:tc>
          <w:tcPr>
            <w:tcW w:w="1031" w:type="dxa"/>
            <w:shd w:val="clear" w:color="auto" w:fill="FFFF00"/>
          </w:tcPr>
          <w:p w14:paraId="1FEA2550" w14:textId="77777777" w:rsidR="005D151D" w:rsidRDefault="005D151D" w:rsidP="0014117E">
            <w:r>
              <w:t>11</w:t>
            </w:r>
          </w:p>
        </w:tc>
        <w:tc>
          <w:tcPr>
            <w:tcW w:w="5073" w:type="dxa"/>
            <w:shd w:val="clear" w:color="auto" w:fill="FFFF00"/>
          </w:tcPr>
          <w:p w14:paraId="74A6358B" w14:textId="77777777" w:rsidR="005D151D" w:rsidRPr="005B722E" w:rsidRDefault="004B50BF" w:rsidP="0014117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Cellular respiration</w:t>
            </w:r>
          </w:p>
        </w:tc>
        <w:tc>
          <w:tcPr>
            <w:tcW w:w="1147" w:type="dxa"/>
            <w:shd w:val="clear" w:color="auto" w:fill="FFFF00"/>
          </w:tcPr>
          <w:p w14:paraId="2760FA47" w14:textId="77777777" w:rsidR="005D151D" w:rsidRDefault="005D151D" w:rsidP="0014117E">
            <w:r>
              <w:t>MSLO9</w:t>
            </w:r>
          </w:p>
        </w:tc>
        <w:tc>
          <w:tcPr>
            <w:tcW w:w="1384" w:type="dxa"/>
            <w:shd w:val="clear" w:color="auto" w:fill="FFFF00"/>
          </w:tcPr>
          <w:p w14:paraId="4E6E351B" w14:textId="77777777" w:rsidR="005D151D" w:rsidRDefault="005D151D" w:rsidP="0014117E">
            <w:r>
              <w:t>CSLO2</w:t>
            </w:r>
          </w:p>
        </w:tc>
        <w:tc>
          <w:tcPr>
            <w:tcW w:w="1890" w:type="dxa"/>
            <w:shd w:val="clear" w:color="auto" w:fill="FFFF00"/>
          </w:tcPr>
          <w:p w14:paraId="74F8394D" w14:textId="77777777" w:rsidR="005D151D" w:rsidRDefault="008C6C9A" w:rsidP="0014117E">
            <w:r>
              <w:t>70</w:t>
            </w:r>
          </w:p>
        </w:tc>
      </w:tr>
      <w:tr w:rsidR="005D151D" w14:paraId="407EDF27" w14:textId="77777777" w:rsidTr="008C6C9A">
        <w:tc>
          <w:tcPr>
            <w:tcW w:w="1031" w:type="dxa"/>
          </w:tcPr>
          <w:p w14:paraId="378A7210" w14:textId="77777777" w:rsidR="005D151D" w:rsidRDefault="005D151D" w:rsidP="0014117E">
            <w:r>
              <w:t>12</w:t>
            </w:r>
          </w:p>
        </w:tc>
        <w:tc>
          <w:tcPr>
            <w:tcW w:w="5073" w:type="dxa"/>
          </w:tcPr>
          <w:p w14:paraId="55468F47" w14:textId="77777777" w:rsidR="005D151D" w:rsidRDefault="004B50BF" w:rsidP="0014117E"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Cell communication</w:t>
            </w:r>
          </w:p>
        </w:tc>
        <w:tc>
          <w:tcPr>
            <w:tcW w:w="1147" w:type="dxa"/>
          </w:tcPr>
          <w:p w14:paraId="0EF36ADE" w14:textId="77777777" w:rsidR="005D151D" w:rsidRDefault="005D151D" w:rsidP="0014117E">
            <w:r>
              <w:t>MSLO10</w:t>
            </w:r>
          </w:p>
        </w:tc>
        <w:tc>
          <w:tcPr>
            <w:tcW w:w="1384" w:type="dxa"/>
          </w:tcPr>
          <w:p w14:paraId="2B57727C" w14:textId="77777777" w:rsidR="005D151D" w:rsidRDefault="005D151D" w:rsidP="0014117E">
            <w:r>
              <w:t>CSLO2</w:t>
            </w:r>
          </w:p>
        </w:tc>
        <w:tc>
          <w:tcPr>
            <w:tcW w:w="1890" w:type="dxa"/>
          </w:tcPr>
          <w:p w14:paraId="54CFBC7D" w14:textId="77777777" w:rsidR="005D151D" w:rsidRDefault="008C6C9A" w:rsidP="0014117E">
            <w:r>
              <w:t>62</w:t>
            </w:r>
          </w:p>
        </w:tc>
      </w:tr>
      <w:tr w:rsidR="005D151D" w14:paraId="1F36032C" w14:textId="77777777" w:rsidTr="0039078F">
        <w:tc>
          <w:tcPr>
            <w:tcW w:w="1031" w:type="dxa"/>
            <w:shd w:val="clear" w:color="auto" w:fill="FFFF00"/>
          </w:tcPr>
          <w:p w14:paraId="5E43A98B" w14:textId="77777777" w:rsidR="005D151D" w:rsidRDefault="005D151D" w:rsidP="0014117E">
            <w:r>
              <w:t>13</w:t>
            </w:r>
          </w:p>
        </w:tc>
        <w:tc>
          <w:tcPr>
            <w:tcW w:w="5073" w:type="dxa"/>
            <w:shd w:val="clear" w:color="auto" w:fill="FFFF00"/>
          </w:tcPr>
          <w:p w14:paraId="64CC132F" w14:textId="77777777" w:rsidR="005D151D" w:rsidRPr="005B722E" w:rsidRDefault="004B50BF" w:rsidP="0014117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Mitosis and Meiosis cell reproduction</w:t>
            </w:r>
          </w:p>
        </w:tc>
        <w:tc>
          <w:tcPr>
            <w:tcW w:w="1147" w:type="dxa"/>
            <w:shd w:val="clear" w:color="auto" w:fill="FFFF00"/>
          </w:tcPr>
          <w:p w14:paraId="0408DC2D" w14:textId="77777777" w:rsidR="005D151D" w:rsidRDefault="005D151D" w:rsidP="0014117E">
            <w:r>
              <w:t>MSLO11</w:t>
            </w:r>
          </w:p>
        </w:tc>
        <w:tc>
          <w:tcPr>
            <w:tcW w:w="1384" w:type="dxa"/>
            <w:shd w:val="clear" w:color="auto" w:fill="FFFF00"/>
          </w:tcPr>
          <w:p w14:paraId="62F3659D" w14:textId="77777777" w:rsidR="005D151D" w:rsidRDefault="005D151D" w:rsidP="0014117E">
            <w:r>
              <w:t>CSLO2</w:t>
            </w:r>
          </w:p>
        </w:tc>
        <w:tc>
          <w:tcPr>
            <w:tcW w:w="1890" w:type="dxa"/>
            <w:shd w:val="clear" w:color="auto" w:fill="FFFF00"/>
          </w:tcPr>
          <w:p w14:paraId="2E8E2BE0" w14:textId="77777777" w:rsidR="005D151D" w:rsidRDefault="008C6C9A" w:rsidP="0014117E">
            <w:r>
              <w:t>44</w:t>
            </w:r>
          </w:p>
        </w:tc>
      </w:tr>
      <w:tr w:rsidR="004B50BF" w14:paraId="02F0C324" w14:textId="77777777" w:rsidTr="0039078F">
        <w:tc>
          <w:tcPr>
            <w:tcW w:w="1031" w:type="dxa"/>
            <w:shd w:val="clear" w:color="auto" w:fill="FFFF00"/>
          </w:tcPr>
          <w:p w14:paraId="76247DCE" w14:textId="77777777" w:rsidR="004B50BF" w:rsidRDefault="004B50BF" w:rsidP="004B50BF">
            <w:r>
              <w:t>14</w:t>
            </w:r>
          </w:p>
        </w:tc>
        <w:tc>
          <w:tcPr>
            <w:tcW w:w="5073" w:type="dxa"/>
            <w:shd w:val="clear" w:color="auto" w:fill="FFFF00"/>
          </w:tcPr>
          <w:p w14:paraId="70FB4B55" w14:textId="77777777" w:rsidR="004B50BF" w:rsidRPr="005B722E" w:rsidRDefault="004B50BF" w:rsidP="004B50B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Mitosis and Meiosis cell reproduction</w:t>
            </w:r>
          </w:p>
        </w:tc>
        <w:tc>
          <w:tcPr>
            <w:tcW w:w="1147" w:type="dxa"/>
            <w:shd w:val="clear" w:color="auto" w:fill="FFFF00"/>
          </w:tcPr>
          <w:p w14:paraId="7385F3B0" w14:textId="77777777" w:rsidR="004B50BF" w:rsidRDefault="004B50BF" w:rsidP="004B50BF">
            <w:r>
              <w:t>MSLO11</w:t>
            </w:r>
          </w:p>
        </w:tc>
        <w:tc>
          <w:tcPr>
            <w:tcW w:w="1384" w:type="dxa"/>
            <w:shd w:val="clear" w:color="auto" w:fill="FFFF00"/>
          </w:tcPr>
          <w:p w14:paraId="74E291DB" w14:textId="77777777" w:rsidR="004B50BF" w:rsidRDefault="004B50BF" w:rsidP="004B50BF">
            <w:r>
              <w:t>CSLO2</w:t>
            </w:r>
          </w:p>
        </w:tc>
        <w:tc>
          <w:tcPr>
            <w:tcW w:w="1890" w:type="dxa"/>
            <w:shd w:val="clear" w:color="auto" w:fill="FFFF00"/>
          </w:tcPr>
          <w:p w14:paraId="3302868E" w14:textId="77777777" w:rsidR="004B50BF" w:rsidRDefault="004B50BF" w:rsidP="004B50BF">
            <w:r>
              <w:t>61</w:t>
            </w:r>
          </w:p>
        </w:tc>
      </w:tr>
      <w:tr w:rsidR="004B50BF" w14:paraId="58BFAE8C" w14:textId="77777777" w:rsidTr="0039078F">
        <w:tc>
          <w:tcPr>
            <w:tcW w:w="1031" w:type="dxa"/>
            <w:shd w:val="clear" w:color="auto" w:fill="FFFF00"/>
          </w:tcPr>
          <w:p w14:paraId="697AEF7A" w14:textId="77777777" w:rsidR="004B50BF" w:rsidRDefault="004B50BF" w:rsidP="004B50BF">
            <w:r>
              <w:t>18</w:t>
            </w:r>
          </w:p>
        </w:tc>
        <w:tc>
          <w:tcPr>
            <w:tcW w:w="5073" w:type="dxa"/>
            <w:shd w:val="clear" w:color="auto" w:fill="FFFF00"/>
          </w:tcPr>
          <w:p w14:paraId="2C420C64" w14:textId="77777777" w:rsidR="004B50BF" w:rsidRPr="005B722E" w:rsidRDefault="004B50BF" w:rsidP="004B50B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Mitosis and Meiosis cell reproduction</w:t>
            </w:r>
          </w:p>
        </w:tc>
        <w:tc>
          <w:tcPr>
            <w:tcW w:w="1147" w:type="dxa"/>
            <w:shd w:val="clear" w:color="auto" w:fill="FFFF00"/>
          </w:tcPr>
          <w:p w14:paraId="7CE2267A" w14:textId="77777777" w:rsidR="004B50BF" w:rsidRDefault="004B50BF" w:rsidP="004B50BF">
            <w:r>
              <w:t>MSLO11</w:t>
            </w:r>
          </w:p>
        </w:tc>
        <w:tc>
          <w:tcPr>
            <w:tcW w:w="1384" w:type="dxa"/>
            <w:shd w:val="clear" w:color="auto" w:fill="FFFF00"/>
          </w:tcPr>
          <w:p w14:paraId="0AEB0179" w14:textId="77777777" w:rsidR="004B50BF" w:rsidRDefault="004B50BF" w:rsidP="004B50BF">
            <w:r>
              <w:t>CSLO2</w:t>
            </w:r>
          </w:p>
        </w:tc>
        <w:tc>
          <w:tcPr>
            <w:tcW w:w="1890" w:type="dxa"/>
            <w:shd w:val="clear" w:color="auto" w:fill="FFFF00"/>
          </w:tcPr>
          <w:p w14:paraId="74A428D7" w14:textId="77777777" w:rsidR="004B50BF" w:rsidRDefault="004B50BF" w:rsidP="004B50BF">
            <w:r>
              <w:t>68</w:t>
            </w:r>
          </w:p>
        </w:tc>
      </w:tr>
      <w:tr w:rsidR="004B50BF" w14:paraId="1E6EA12B" w14:textId="77777777" w:rsidTr="008C6C9A">
        <w:tc>
          <w:tcPr>
            <w:tcW w:w="1031" w:type="dxa"/>
          </w:tcPr>
          <w:p w14:paraId="4C98272C" w14:textId="77777777" w:rsidR="004B50BF" w:rsidRDefault="004B50BF" w:rsidP="004B50BF">
            <w:r>
              <w:t>15</w:t>
            </w:r>
          </w:p>
        </w:tc>
        <w:tc>
          <w:tcPr>
            <w:tcW w:w="5073" w:type="dxa"/>
          </w:tcPr>
          <w:p w14:paraId="0423958F" w14:textId="77777777" w:rsidR="004B50BF" w:rsidRPr="005B722E" w:rsidRDefault="004B50BF" w:rsidP="004B50B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Inheritance,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Punnet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square</w:t>
            </w:r>
          </w:p>
        </w:tc>
        <w:tc>
          <w:tcPr>
            <w:tcW w:w="1147" w:type="dxa"/>
          </w:tcPr>
          <w:p w14:paraId="642D48DE" w14:textId="77777777" w:rsidR="004B50BF" w:rsidRDefault="004B50BF" w:rsidP="004B50BF">
            <w:r>
              <w:t>MSLO12</w:t>
            </w:r>
          </w:p>
        </w:tc>
        <w:tc>
          <w:tcPr>
            <w:tcW w:w="1384" w:type="dxa"/>
          </w:tcPr>
          <w:p w14:paraId="38515626" w14:textId="77777777" w:rsidR="004B50BF" w:rsidRDefault="004B50BF" w:rsidP="004B50BF">
            <w:r>
              <w:t>CSLO2 &amp;4</w:t>
            </w:r>
          </w:p>
        </w:tc>
        <w:tc>
          <w:tcPr>
            <w:tcW w:w="1890" w:type="dxa"/>
          </w:tcPr>
          <w:p w14:paraId="2362C00E" w14:textId="77777777" w:rsidR="004B50BF" w:rsidRDefault="004B50BF" w:rsidP="004B50BF">
            <w:r>
              <w:t>66</w:t>
            </w:r>
          </w:p>
        </w:tc>
      </w:tr>
      <w:tr w:rsidR="004B50BF" w14:paraId="6337769E" w14:textId="77777777" w:rsidTr="008C6C9A">
        <w:tc>
          <w:tcPr>
            <w:tcW w:w="1031" w:type="dxa"/>
          </w:tcPr>
          <w:p w14:paraId="1529BE6C" w14:textId="77777777" w:rsidR="004B50BF" w:rsidRDefault="004B50BF" w:rsidP="004B50BF">
            <w:r>
              <w:t>16</w:t>
            </w:r>
          </w:p>
        </w:tc>
        <w:tc>
          <w:tcPr>
            <w:tcW w:w="5073" w:type="dxa"/>
          </w:tcPr>
          <w:p w14:paraId="7D7AF9DE" w14:textId="77777777" w:rsidR="004B50BF" w:rsidRDefault="004B50BF" w:rsidP="004B50BF"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Inheritance and X-linked disorder</w:t>
            </w:r>
          </w:p>
        </w:tc>
        <w:tc>
          <w:tcPr>
            <w:tcW w:w="1147" w:type="dxa"/>
          </w:tcPr>
          <w:p w14:paraId="71D0A22C" w14:textId="77777777" w:rsidR="004B50BF" w:rsidRDefault="004B50BF" w:rsidP="004B50BF">
            <w:r>
              <w:t>MSLO13</w:t>
            </w:r>
          </w:p>
        </w:tc>
        <w:tc>
          <w:tcPr>
            <w:tcW w:w="1384" w:type="dxa"/>
          </w:tcPr>
          <w:p w14:paraId="6BEA5ACF" w14:textId="77777777" w:rsidR="004B50BF" w:rsidRDefault="004B50BF" w:rsidP="004B50BF">
            <w:r>
              <w:t>CSLO2 &amp;4</w:t>
            </w:r>
          </w:p>
        </w:tc>
        <w:tc>
          <w:tcPr>
            <w:tcW w:w="1890" w:type="dxa"/>
          </w:tcPr>
          <w:p w14:paraId="18AA9589" w14:textId="77777777" w:rsidR="004B50BF" w:rsidRDefault="004B50BF" w:rsidP="004B50BF">
            <w:r>
              <w:t>51</w:t>
            </w:r>
          </w:p>
        </w:tc>
      </w:tr>
      <w:tr w:rsidR="004B50BF" w14:paraId="347170C5" w14:textId="77777777" w:rsidTr="008C6C9A">
        <w:tc>
          <w:tcPr>
            <w:tcW w:w="1031" w:type="dxa"/>
          </w:tcPr>
          <w:p w14:paraId="61CE8109" w14:textId="77777777" w:rsidR="004B50BF" w:rsidRDefault="004B50BF" w:rsidP="004B50BF">
            <w:r>
              <w:t>17</w:t>
            </w:r>
          </w:p>
        </w:tc>
        <w:tc>
          <w:tcPr>
            <w:tcW w:w="5073" w:type="dxa"/>
          </w:tcPr>
          <w:p w14:paraId="4A3916DA" w14:textId="77777777" w:rsidR="004B50BF" w:rsidRDefault="004B50BF" w:rsidP="004B50BF">
            <w:r w:rsidRPr="00A778F7">
              <w:rPr>
                <w:rFonts w:ascii="Times New Roman" w:hAnsi="Times New Roman" w:cs="Times New Roman"/>
                <w:i/>
                <w:sz w:val="20"/>
                <w:szCs w:val="20"/>
              </w:rPr>
              <w:t>Karyotype?</w:t>
            </w:r>
          </w:p>
        </w:tc>
        <w:tc>
          <w:tcPr>
            <w:tcW w:w="1147" w:type="dxa"/>
          </w:tcPr>
          <w:p w14:paraId="0B2E8835" w14:textId="77777777" w:rsidR="004B50BF" w:rsidRDefault="004B50BF" w:rsidP="004B50BF">
            <w:r>
              <w:t>MSLO13</w:t>
            </w:r>
          </w:p>
        </w:tc>
        <w:tc>
          <w:tcPr>
            <w:tcW w:w="1384" w:type="dxa"/>
          </w:tcPr>
          <w:p w14:paraId="132C1905" w14:textId="77777777" w:rsidR="004B50BF" w:rsidRDefault="004B50BF" w:rsidP="004B50BF">
            <w:r>
              <w:t>CSLO2</w:t>
            </w:r>
          </w:p>
        </w:tc>
        <w:tc>
          <w:tcPr>
            <w:tcW w:w="1890" w:type="dxa"/>
          </w:tcPr>
          <w:p w14:paraId="1DC89E66" w14:textId="77777777" w:rsidR="004B50BF" w:rsidRDefault="004B50BF" w:rsidP="004B50BF">
            <w:r>
              <w:t>55</w:t>
            </w:r>
          </w:p>
        </w:tc>
      </w:tr>
      <w:tr w:rsidR="004B50BF" w14:paraId="5854D4D1" w14:textId="77777777" w:rsidTr="0029138D">
        <w:tc>
          <w:tcPr>
            <w:tcW w:w="1031" w:type="dxa"/>
            <w:shd w:val="clear" w:color="auto" w:fill="C00000"/>
          </w:tcPr>
          <w:p w14:paraId="7EFFF481" w14:textId="77777777" w:rsidR="004B50BF" w:rsidRDefault="004B50BF" w:rsidP="004B50BF">
            <w:r>
              <w:t>19</w:t>
            </w:r>
          </w:p>
        </w:tc>
        <w:tc>
          <w:tcPr>
            <w:tcW w:w="5073" w:type="dxa"/>
            <w:shd w:val="clear" w:color="auto" w:fill="C00000"/>
          </w:tcPr>
          <w:p w14:paraId="3C53E8E2" w14:textId="77777777" w:rsidR="004B50BF" w:rsidRDefault="004B50BF" w:rsidP="004B50BF">
            <w:r>
              <w:rPr>
                <w:noProof/>
              </w:rPr>
              <w:t>Translation and trasncription (gene expression)</w:t>
            </w:r>
          </w:p>
        </w:tc>
        <w:tc>
          <w:tcPr>
            <w:tcW w:w="1147" w:type="dxa"/>
            <w:shd w:val="clear" w:color="auto" w:fill="C00000"/>
          </w:tcPr>
          <w:p w14:paraId="7A19EEDB" w14:textId="77777777" w:rsidR="004B50BF" w:rsidRDefault="004B50BF" w:rsidP="004B50BF">
            <w:r>
              <w:t>MSLO15</w:t>
            </w:r>
          </w:p>
        </w:tc>
        <w:tc>
          <w:tcPr>
            <w:tcW w:w="1384" w:type="dxa"/>
            <w:shd w:val="clear" w:color="auto" w:fill="C00000"/>
          </w:tcPr>
          <w:p w14:paraId="4FED2FB5" w14:textId="77777777" w:rsidR="004B50BF" w:rsidRDefault="004B50BF" w:rsidP="004B50BF">
            <w:r>
              <w:t>CSLO2 &amp;4</w:t>
            </w:r>
          </w:p>
        </w:tc>
        <w:tc>
          <w:tcPr>
            <w:tcW w:w="1890" w:type="dxa"/>
            <w:shd w:val="clear" w:color="auto" w:fill="C00000"/>
          </w:tcPr>
          <w:p w14:paraId="594C1F2D" w14:textId="77777777" w:rsidR="004B50BF" w:rsidRDefault="004B50BF" w:rsidP="004B50BF">
            <w:r>
              <w:t>30</w:t>
            </w:r>
          </w:p>
        </w:tc>
      </w:tr>
      <w:tr w:rsidR="004B50BF" w14:paraId="24558DE2" w14:textId="77777777" w:rsidTr="0029138D">
        <w:tc>
          <w:tcPr>
            <w:tcW w:w="1031" w:type="dxa"/>
            <w:shd w:val="clear" w:color="auto" w:fill="C00000"/>
          </w:tcPr>
          <w:p w14:paraId="49753D1A" w14:textId="77777777" w:rsidR="004B50BF" w:rsidRDefault="004B50BF" w:rsidP="004B50BF">
            <w:r>
              <w:t>20</w:t>
            </w:r>
          </w:p>
        </w:tc>
        <w:tc>
          <w:tcPr>
            <w:tcW w:w="5073" w:type="dxa"/>
            <w:shd w:val="clear" w:color="auto" w:fill="C00000"/>
          </w:tcPr>
          <w:p w14:paraId="31B5ECDB" w14:textId="77777777" w:rsidR="004B50BF" w:rsidRDefault="004B50BF" w:rsidP="004B50B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DNA replication</w:t>
            </w:r>
          </w:p>
          <w:p w14:paraId="2B4C624E" w14:textId="77777777" w:rsidR="004B50BF" w:rsidRDefault="004B50BF" w:rsidP="004B50BF"/>
        </w:tc>
        <w:tc>
          <w:tcPr>
            <w:tcW w:w="1147" w:type="dxa"/>
            <w:shd w:val="clear" w:color="auto" w:fill="C00000"/>
          </w:tcPr>
          <w:p w14:paraId="2C640E86" w14:textId="77777777" w:rsidR="004B50BF" w:rsidRDefault="004B50BF" w:rsidP="004B50BF">
            <w:r>
              <w:t>MSLO14</w:t>
            </w:r>
          </w:p>
        </w:tc>
        <w:tc>
          <w:tcPr>
            <w:tcW w:w="1384" w:type="dxa"/>
            <w:shd w:val="clear" w:color="auto" w:fill="C00000"/>
          </w:tcPr>
          <w:p w14:paraId="158DE966" w14:textId="77777777" w:rsidR="004B50BF" w:rsidRDefault="004B50BF" w:rsidP="004B50BF">
            <w:r>
              <w:t>CSLO2</w:t>
            </w:r>
          </w:p>
        </w:tc>
        <w:tc>
          <w:tcPr>
            <w:tcW w:w="1890" w:type="dxa"/>
            <w:shd w:val="clear" w:color="auto" w:fill="C00000"/>
          </w:tcPr>
          <w:p w14:paraId="003FA2CF" w14:textId="77777777" w:rsidR="004B50BF" w:rsidRDefault="004B50BF" w:rsidP="004B50BF">
            <w:r>
              <w:t>46</w:t>
            </w:r>
          </w:p>
        </w:tc>
      </w:tr>
    </w:tbl>
    <w:p w14:paraId="0130D0CD" w14:textId="77777777" w:rsidR="00806EAC" w:rsidRDefault="00806EAC" w:rsidP="00806EAC"/>
    <w:p w14:paraId="48C70517" w14:textId="77777777" w:rsidR="00A77666" w:rsidRDefault="00806EAC" w:rsidP="0039078F">
      <w:pPr>
        <w:rPr>
          <w:b/>
          <w:sz w:val="28"/>
          <w:szCs w:val="28"/>
        </w:rPr>
      </w:pPr>
      <w:r w:rsidRPr="00806EAC">
        <w:rPr>
          <w:b/>
          <w:sz w:val="28"/>
          <w:szCs w:val="28"/>
        </w:rPr>
        <w:t>Results</w:t>
      </w:r>
    </w:p>
    <w:p w14:paraId="161B1B2D" w14:textId="77777777" w:rsidR="0039078F" w:rsidRPr="00A77666" w:rsidRDefault="00A77666" w:rsidP="0039078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Questions </w:t>
      </w:r>
      <w:r w:rsidR="0039078F" w:rsidRPr="00F7328F">
        <w:rPr>
          <w:highlight w:val="yellow"/>
        </w:rPr>
        <w:t>less than 50 % of students answer</w:t>
      </w:r>
      <w:r>
        <w:rPr>
          <w:highlight w:val="yellow"/>
        </w:rPr>
        <w:t>ed</w:t>
      </w:r>
      <w:r w:rsidR="0039078F" w:rsidRPr="00F7328F">
        <w:rPr>
          <w:highlight w:val="yellow"/>
        </w:rPr>
        <w:t xml:space="preserve"> correctly</w:t>
      </w:r>
    </w:p>
    <w:p w14:paraId="28EE47CB" w14:textId="77777777" w:rsidR="00F7328F" w:rsidRPr="00F7328F" w:rsidRDefault="00F7328F" w:rsidP="0039078F">
      <w:pPr>
        <w:rPr>
          <w:u w:val="single"/>
        </w:rPr>
      </w:pPr>
      <w:r w:rsidRPr="00F7328F">
        <w:rPr>
          <w:u w:val="single"/>
        </w:rPr>
        <w:t xml:space="preserve">Question 5 (MSLO5): </w:t>
      </w:r>
      <w:r w:rsidR="0039078F" w:rsidRPr="00F7328F">
        <w:rPr>
          <w:u w:val="single"/>
        </w:rPr>
        <w:t>Property</w:t>
      </w:r>
      <w:r w:rsidRPr="00F7328F">
        <w:rPr>
          <w:u w:val="single"/>
        </w:rPr>
        <w:t xml:space="preserve"> of H2O </w:t>
      </w:r>
    </w:p>
    <w:p w14:paraId="5845044C" w14:textId="77777777" w:rsidR="00F7328F" w:rsidRDefault="00F7328F" w:rsidP="0039078F">
      <w:r>
        <w:t xml:space="preserve">Question was not hard. </w:t>
      </w:r>
      <w:r w:rsidRPr="002064C6">
        <w:rPr>
          <w:highlight w:val="yellow"/>
        </w:rPr>
        <w:t>Students didn’t understand the property of H2O</w:t>
      </w:r>
    </w:p>
    <w:p w14:paraId="6AC2B15F" w14:textId="77777777" w:rsidR="00F7328F" w:rsidRPr="00F7328F" w:rsidRDefault="00F7328F" w:rsidP="0039078F">
      <w:pPr>
        <w:rPr>
          <w:u w:val="single"/>
        </w:rPr>
      </w:pPr>
      <w:r w:rsidRPr="00F7328F">
        <w:rPr>
          <w:u w:val="single"/>
        </w:rPr>
        <w:t>Question 9 (MSLO8): Membrane structure</w:t>
      </w:r>
    </w:p>
    <w:p w14:paraId="4A1B7A94" w14:textId="77777777" w:rsidR="00F7328F" w:rsidRDefault="00F7328F" w:rsidP="0039078F">
      <w:r>
        <w:t xml:space="preserve">Question was not hard. </w:t>
      </w:r>
      <w:r w:rsidRPr="002064C6">
        <w:rPr>
          <w:highlight w:val="yellow"/>
        </w:rPr>
        <w:t>Students didn’t understand the membrane structure</w:t>
      </w:r>
    </w:p>
    <w:p w14:paraId="1B3A5D47" w14:textId="77777777" w:rsidR="00F7328F" w:rsidRPr="00F7328F" w:rsidRDefault="00F7328F" w:rsidP="0039078F">
      <w:pPr>
        <w:rPr>
          <w:u w:val="single"/>
        </w:rPr>
      </w:pPr>
      <w:r w:rsidRPr="00F7328F">
        <w:rPr>
          <w:u w:val="single"/>
        </w:rPr>
        <w:t xml:space="preserve">Question 10 (MSLO9): Cellular respiration </w:t>
      </w:r>
    </w:p>
    <w:p w14:paraId="29193AA5" w14:textId="77777777" w:rsidR="00F7328F" w:rsidRDefault="00F7328F" w:rsidP="0039078F">
      <w:r>
        <w:t>Two questions tested for this Cellular reparation. Level of the question 10</w:t>
      </w:r>
      <w:r w:rsidR="002064C6">
        <w:t xml:space="preserve"> is hard</w:t>
      </w:r>
      <w:r>
        <w:t xml:space="preserve"> so only 32% answer the question. However, </w:t>
      </w:r>
      <w:r w:rsidR="0029138D">
        <w:t>question11 for same</w:t>
      </w:r>
      <w:r>
        <w:t xml:space="preserve"> </w:t>
      </w:r>
      <w:r w:rsidR="0029138D">
        <w:t>MSLO was moderate and 70% of students answer correctly. It indicates that students understood cellular reparation learning objective.</w:t>
      </w:r>
    </w:p>
    <w:p w14:paraId="47EB9B37" w14:textId="77777777" w:rsidR="0029138D" w:rsidRPr="0029138D" w:rsidRDefault="0029138D" w:rsidP="0039078F">
      <w:pPr>
        <w:rPr>
          <w:u w:val="single"/>
        </w:rPr>
      </w:pPr>
      <w:r w:rsidRPr="0029138D">
        <w:rPr>
          <w:u w:val="single"/>
        </w:rPr>
        <w:t>Question 13 (MSLO11): Mitosis and Meiosis cell reproduction</w:t>
      </w:r>
    </w:p>
    <w:p w14:paraId="34AE6D90" w14:textId="77777777" w:rsidR="0029138D" w:rsidRDefault="002064C6" w:rsidP="0029138D">
      <w:r>
        <w:lastRenderedPageBreak/>
        <w:t>Three questions tested for the</w:t>
      </w:r>
      <w:r w:rsidR="0029138D">
        <w:t xml:space="preserve"> Mitosis and Meiosis cell reproduction learning objective. Level of the question 13</w:t>
      </w:r>
      <w:r>
        <w:t xml:space="preserve"> is hard</w:t>
      </w:r>
      <w:r w:rsidR="0029138D">
        <w:t xml:space="preserve"> so only 44% answered question. However, other two question</w:t>
      </w:r>
      <w:r>
        <w:t>s</w:t>
      </w:r>
      <w:r w:rsidR="0029138D">
        <w:t xml:space="preserve">14 and 15 for </w:t>
      </w:r>
      <w:r>
        <w:t xml:space="preserve">the </w:t>
      </w:r>
      <w:r w:rsidR="0029138D">
        <w:t xml:space="preserve">same </w:t>
      </w:r>
      <w:r>
        <w:t>MSLO were moderate and 61% and 68</w:t>
      </w:r>
      <w:r w:rsidR="0029138D">
        <w:t>% of students answer</w:t>
      </w:r>
      <w:r>
        <w:t>ed</w:t>
      </w:r>
      <w:r w:rsidR="0029138D">
        <w:t xml:space="preserve"> correctly. It indicates that students understood </w:t>
      </w:r>
      <w:r>
        <w:t>Mitosis and Meiosis cell reproduction</w:t>
      </w:r>
      <w:r w:rsidR="0029138D">
        <w:t xml:space="preserve"> learning objective.</w:t>
      </w:r>
    </w:p>
    <w:p w14:paraId="22AE0C53" w14:textId="77777777" w:rsidR="002064C6" w:rsidRPr="002064C6" w:rsidRDefault="002064C6" w:rsidP="002064C6">
      <w:pPr>
        <w:rPr>
          <w:u w:val="single"/>
        </w:rPr>
      </w:pPr>
      <w:r w:rsidRPr="002064C6">
        <w:rPr>
          <w:u w:val="single"/>
        </w:rPr>
        <w:t>Question 19 (MSLO15):</w:t>
      </w:r>
      <w:r w:rsidRPr="002064C6">
        <w:rPr>
          <w:noProof/>
          <w:u w:val="single"/>
        </w:rPr>
        <w:t xml:space="preserve"> Translation and trasncription (gene expression)</w:t>
      </w:r>
    </w:p>
    <w:p w14:paraId="0A1B8BEC" w14:textId="77777777" w:rsidR="002064C6" w:rsidRDefault="002064C6" w:rsidP="0029138D">
      <w:r>
        <w:t xml:space="preserve">Question was not hard. </w:t>
      </w:r>
      <w:r w:rsidRPr="002064C6">
        <w:rPr>
          <w:highlight w:val="yellow"/>
        </w:rPr>
        <w:t>Students didn’t understand gene expression</w:t>
      </w:r>
    </w:p>
    <w:p w14:paraId="5DD37FF3" w14:textId="77777777" w:rsidR="002064C6" w:rsidRPr="002064C6" w:rsidRDefault="002064C6" w:rsidP="002064C6">
      <w:pPr>
        <w:rPr>
          <w:rFonts w:ascii="Times New Roman" w:hAnsi="Times New Roman" w:cs="Times New Roman"/>
          <w:i/>
          <w:sz w:val="20"/>
          <w:szCs w:val="20"/>
          <w:u w:val="single"/>
        </w:rPr>
      </w:pPr>
      <w:r w:rsidRPr="002064C6">
        <w:rPr>
          <w:u w:val="single"/>
        </w:rPr>
        <w:t xml:space="preserve">Question 20 (MSLO14): </w:t>
      </w:r>
      <w:r w:rsidRPr="002064C6">
        <w:rPr>
          <w:rFonts w:ascii="Times New Roman" w:hAnsi="Times New Roman" w:cs="Times New Roman"/>
          <w:i/>
          <w:sz w:val="20"/>
          <w:szCs w:val="20"/>
          <w:u w:val="single"/>
        </w:rPr>
        <w:t>DNA replication</w:t>
      </w:r>
    </w:p>
    <w:p w14:paraId="15E0755B" w14:textId="77777777" w:rsidR="002064C6" w:rsidRDefault="002064C6" w:rsidP="0039078F">
      <w:r>
        <w:t xml:space="preserve">Question was not hard. </w:t>
      </w:r>
      <w:r w:rsidRPr="002064C6">
        <w:rPr>
          <w:highlight w:val="yellow"/>
        </w:rPr>
        <w:t>Students didn’t understand DNA replication</w:t>
      </w:r>
    </w:p>
    <w:p w14:paraId="5F02E2FF" w14:textId="77777777" w:rsidR="002064C6" w:rsidRDefault="002064C6" w:rsidP="0039078F"/>
    <w:p w14:paraId="0CCB40A8" w14:textId="77777777" w:rsidR="002064C6" w:rsidRPr="002064C6" w:rsidRDefault="002064C6" w:rsidP="0039078F">
      <w:pPr>
        <w:rPr>
          <w:b/>
          <w:sz w:val="28"/>
          <w:szCs w:val="28"/>
        </w:rPr>
      </w:pPr>
      <w:r w:rsidRPr="002064C6">
        <w:rPr>
          <w:b/>
          <w:sz w:val="28"/>
          <w:szCs w:val="28"/>
        </w:rPr>
        <w:t>Discussion</w:t>
      </w:r>
    </w:p>
    <w:p w14:paraId="6C7C35B6" w14:textId="77777777" w:rsidR="004D250C" w:rsidRPr="004D250C" w:rsidRDefault="002064C6" w:rsidP="004D250C">
      <w:pPr>
        <w:rPr>
          <w:rFonts w:ascii="Times New Roman" w:hAnsi="Times New Roman" w:cs="Times New Roman"/>
          <w:i/>
          <w:sz w:val="20"/>
          <w:szCs w:val="20"/>
        </w:rPr>
      </w:pPr>
      <w:r>
        <w:rPr>
          <w:sz w:val="20"/>
          <w:szCs w:val="20"/>
        </w:rPr>
        <w:t>We should improve the teaching method for</w:t>
      </w:r>
      <w:r w:rsidR="004D250C">
        <w:rPr>
          <w:sz w:val="20"/>
          <w:szCs w:val="20"/>
        </w:rPr>
        <w:t xml:space="preserve">, </w:t>
      </w:r>
      <w:r w:rsidR="004D250C" w:rsidRPr="004D250C">
        <w:t>Question 5 (MSLO5): Property of H2O, Question 9 (MSLO8): Membrane structure, Question 19 (MSLO15):</w:t>
      </w:r>
      <w:r w:rsidR="004D250C" w:rsidRPr="004D250C">
        <w:rPr>
          <w:noProof/>
        </w:rPr>
        <w:t xml:space="preserve"> Translation and trasncription (gene expression) and </w:t>
      </w:r>
      <w:r w:rsidR="004D250C" w:rsidRPr="004D250C">
        <w:t xml:space="preserve">Question 20 (MSLO14): </w:t>
      </w:r>
      <w:r w:rsidR="004D250C" w:rsidRPr="004D250C">
        <w:rPr>
          <w:rFonts w:ascii="Times New Roman" w:hAnsi="Times New Roman" w:cs="Times New Roman"/>
          <w:i/>
        </w:rPr>
        <w:t>DNA replication</w:t>
      </w:r>
    </w:p>
    <w:p w14:paraId="7425684C" w14:textId="77777777" w:rsidR="004D250C" w:rsidRPr="002064C6" w:rsidRDefault="004D250C" w:rsidP="004D250C">
      <w:pPr>
        <w:rPr>
          <w:u w:val="single"/>
        </w:rPr>
      </w:pPr>
      <w:r>
        <w:rPr>
          <w:noProof/>
          <w:u w:val="single"/>
        </w:rPr>
        <w:t xml:space="preserve"> </w:t>
      </w:r>
    </w:p>
    <w:p w14:paraId="5A1F1C13" w14:textId="77777777" w:rsidR="004D250C" w:rsidRPr="00F7328F" w:rsidRDefault="004D250C" w:rsidP="004D250C">
      <w:pPr>
        <w:rPr>
          <w:u w:val="single"/>
        </w:rPr>
      </w:pPr>
    </w:p>
    <w:p w14:paraId="7684F777" w14:textId="77777777" w:rsidR="004D250C" w:rsidRPr="00F7328F" w:rsidRDefault="004D250C" w:rsidP="004D250C">
      <w:pPr>
        <w:rPr>
          <w:u w:val="single"/>
        </w:rPr>
      </w:pPr>
      <w:r w:rsidRPr="00F7328F">
        <w:rPr>
          <w:u w:val="single"/>
        </w:rPr>
        <w:t xml:space="preserve"> </w:t>
      </w:r>
    </w:p>
    <w:p w14:paraId="66168604" w14:textId="77777777" w:rsidR="0029138D" w:rsidRPr="002064C6" w:rsidRDefault="002064C6" w:rsidP="0039078F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092035FA" w14:textId="77777777" w:rsidR="0039078F" w:rsidRDefault="0039078F" w:rsidP="0039078F">
      <w:r>
        <w:t xml:space="preserve"> </w:t>
      </w:r>
    </w:p>
    <w:p w14:paraId="33C3683A" w14:textId="77777777" w:rsidR="00E80C3C" w:rsidRDefault="00E80C3C" w:rsidP="00E80C3C">
      <w:pPr>
        <w:jc w:val="center"/>
      </w:pPr>
    </w:p>
    <w:p w14:paraId="6A823995" w14:textId="77777777" w:rsidR="00E80C3C" w:rsidRDefault="00E80C3C" w:rsidP="00E80C3C">
      <w:pPr>
        <w:jc w:val="center"/>
      </w:pPr>
    </w:p>
    <w:sectPr w:rsidR="00E80C3C" w:rsidSect="00E80C3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9C7034"/>
    <w:multiLevelType w:val="hybridMultilevel"/>
    <w:tmpl w:val="3F7A83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0C3C"/>
    <w:rsid w:val="00060CAB"/>
    <w:rsid w:val="000A565B"/>
    <w:rsid w:val="002064C6"/>
    <w:rsid w:val="00277E4D"/>
    <w:rsid w:val="0029138D"/>
    <w:rsid w:val="002C2E0A"/>
    <w:rsid w:val="00306ACB"/>
    <w:rsid w:val="0039078F"/>
    <w:rsid w:val="003D199E"/>
    <w:rsid w:val="004B50BF"/>
    <w:rsid w:val="004D250C"/>
    <w:rsid w:val="005D151D"/>
    <w:rsid w:val="00642980"/>
    <w:rsid w:val="007D31D6"/>
    <w:rsid w:val="00806EAC"/>
    <w:rsid w:val="008564EB"/>
    <w:rsid w:val="008C6C9A"/>
    <w:rsid w:val="009E24BC"/>
    <w:rsid w:val="00A77666"/>
    <w:rsid w:val="00C34A7F"/>
    <w:rsid w:val="00CE6E1C"/>
    <w:rsid w:val="00D66D40"/>
    <w:rsid w:val="00D825A4"/>
    <w:rsid w:val="00E5179C"/>
    <w:rsid w:val="00E80C3C"/>
    <w:rsid w:val="00F73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1453F0"/>
  <w15:chartTrackingRefBased/>
  <w15:docId w15:val="{DF78B2D0-30B0-401A-B0D4-9C8E05E30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0C3C"/>
    <w:pPr>
      <w:ind w:left="720"/>
      <w:contextualSpacing/>
    </w:pPr>
    <w:rPr>
      <w:rFonts w:eastAsiaTheme="minorEastAsia"/>
      <w:lang w:eastAsia="ko-KR"/>
    </w:rPr>
  </w:style>
  <w:style w:type="table" w:styleId="TableGrid">
    <w:name w:val="Table Grid"/>
    <w:basedOn w:val="TableNormal"/>
    <w:uiPriority w:val="39"/>
    <w:rsid w:val="005D15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2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customXml" Target="../customXml/item2.xml"/><Relationship Id="rId5" Type="http://schemas.openxmlformats.org/officeDocument/2006/relationships/chart" Target="charts/chart1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D:\Faculty_CAC\Course%20assessment\BIO181\Assessment%20reports\Summary%20of%20Spring%202019%20Fall%202019%20and%20Spring%202020.xlsx" TargetMode="Externa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D:\Faculty_CAC\Course%20assessment\BIO181\Assessment%20reports\Summary%20of%20Spring%202019%20Fall%202019%20and%20Spring%202020.xlsx" TargetMode="Externa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chartUserShapes" Target="../drawings/drawing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200"/>
              <a:t>Comparision</a:t>
            </a:r>
            <a:r>
              <a:rPr lang="en-US" sz="1200" baseline="0"/>
              <a:t> of number of students anwered correctly over the four semesters  </a:t>
            </a:r>
            <a:endParaRPr lang="en-US" sz="1200"/>
          </a:p>
        </c:rich>
      </c:tx>
      <c:layout>
        <c:manualLayout>
          <c:xMode val="edge"/>
          <c:yMode val="edge"/>
          <c:x val="0.1295359434237387"/>
          <c:y val="5.623162689477043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11486270356556308"/>
          <c:y val="0.1897176920681525"/>
          <c:w val="0.76734478365642889"/>
          <c:h val="0.6151035188398060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'Fall2019 and Spring 2020'!$B$24</c:f>
              <c:strCache>
                <c:ptCount val="1"/>
                <c:pt idx="0">
                  <c:v>Spring 2019</c:v>
                </c:pt>
              </c:strCache>
            </c:strRef>
          </c:tx>
          <c:spPr>
            <a:solidFill>
              <a:schemeClr val="dk1">
                <a:tint val="88500"/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cat>
            <c:numRef>
              <c:f>'Fall2019 and Spring 2020'!$A$25:$A$44</c:f>
              <c:numCache>
                <c:formatCode>General</c:formatCode>
                <c:ptCount val="2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18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19</c:v>
                </c:pt>
                <c:pt idx="19">
                  <c:v>20</c:v>
                </c:pt>
              </c:numCache>
            </c:numRef>
          </c:cat>
          <c:val>
            <c:numRef>
              <c:f>'Fall2019 and Spring 2020'!$B$25:$B$44</c:f>
              <c:numCache>
                <c:formatCode>General</c:formatCode>
                <c:ptCount val="20"/>
                <c:pt idx="0">
                  <c:v>59</c:v>
                </c:pt>
                <c:pt idx="1">
                  <c:v>58.3</c:v>
                </c:pt>
                <c:pt idx="2">
                  <c:v>51.1</c:v>
                </c:pt>
                <c:pt idx="3">
                  <c:v>64</c:v>
                </c:pt>
                <c:pt idx="4">
                  <c:v>37.4</c:v>
                </c:pt>
                <c:pt idx="5">
                  <c:v>56.1</c:v>
                </c:pt>
                <c:pt idx="6">
                  <c:v>61.9</c:v>
                </c:pt>
                <c:pt idx="7">
                  <c:v>65.5</c:v>
                </c:pt>
                <c:pt idx="8">
                  <c:v>27.3</c:v>
                </c:pt>
                <c:pt idx="9">
                  <c:v>20.100000000000001</c:v>
                </c:pt>
                <c:pt idx="10">
                  <c:v>62.6</c:v>
                </c:pt>
                <c:pt idx="11">
                  <c:v>48.9</c:v>
                </c:pt>
                <c:pt idx="12">
                  <c:v>38.1</c:v>
                </c:pt>
                <c:pt idx="13">
                  <c:v>61.9</c:v>
                </c:pt>
                <c:pt idx="14">
                  <c:v>64.7</c:v>
                </c:pt>
                <c:pt idx="15">
                  <c:v>64.7</c:v>
                </c:pt>
                <c:pt idx="16">
                  <c:v>52.5</c:v>
                </c:pt>
                <c:pt idx="17">
                  <c:v>54</c:v>
                </c:pt>
                <c:pt idx="18">
                  <c:v>25.2</c:v>
                </c:pt>
                <c:pt idx="19">
                  <c:v>35.299999999999997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943-4A1C-93AD-3433F10C4961}"/>
            </c:ext>
          </c:extLst>
        </c:ser>
        <c:ser>
          <c:idx val="1"/>
          <c:order val="1"/>
          <c:tx>
            <c:strRef>
              <c:f>'Fall2019 and Spring 2020'!$C$24</c:f>
              <c:strCache>
                <c:ptCount val="1"/>
                <c:pt idx="0">
                  <c:v>Fall 2019</c:v>
                </c:pt>
              </c:strCache>
            </c:strRef>
          </c:tx>
          <c:spPr>
            <a:solidFill>
              <a:schemeClr val="dk1">
                <a:tint val="55000"/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cat>
            <c:numRef>
              <c:f>'Fall2019 and Spring 2020'!$A$25:$A$44</c:f>
              <c:numCache>
                <c:formatCode>General</c:formatCode>
                <c:ptCount val="2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18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19</c:v>
                </c:pt>
                <c:pt idx="19">
                  <c:v>20</c:v>
                </c:pt>
              </c:numCache>
            </c:numRef>
          </c:cat>
          <c:val>
            <c:numRef>
              <c:f>'Fall2019 and Spring 2020'!$C$25:$C$44</c:f>
              <c:numCache>
                <c:formatCode>General</c:formatCode>
                <c:ptCount val="20"/>
                <c:pt idx="0">
                  <c:v>51.9</c:v>
                </c:pt>
                <c:pt idx="1">
                  <c:v>57.7</c:v>
                </c:pt>
                <c:pt idx="2">
                  <c:v>62.2</c:v>
                </c:pt>
                <c:pt idx="3">
                  <c:v>71.2</c:v>
                </c:pt>
                <c:pt idx="4">
                  <c:v>37.200000000000003</c:v>
                </c:pt>
                <c:pt idx="5">
                  <c:v>56.4</c:v>
                </c:pt>
                <c:pt idx="6">
                  <c:v>67.900000000000006</c:v>
                </c:pt>
                <c:pt idx="7">
                  <c:v>76.3</c:v>
                </c:pt>
                <c:pt idx="8">
                  <c:v>37.200000000000003</c:v>
                </c:pt>
                <c:pt idx="9">
                  <c:v>26.9</c:v>
                </c:pt>
                <c:pt idx="10">
                  <c:v>63.5</c:v>
                </c:pt>
                <c:pt idx="11">
                  <c:v>57.7</c:v>
                </c:pt>
                <c:pt idx="12">
                  <c:v>42.9</c:v>
                </c:pt>
                <c:pt idx="13">
                  <c:v>53.8</c:v>
                </c:pt>
                <c:pt idx="14">
                  <c:v>61.5</c:v>
                </c:pt>
                <c:pt idx="15">
                  <c:v>62.2</c:v>
                </c:pt>
                <c:pt idx="16">
                  <c:v>50.6</c:v>
                </c:pt>
                <c:pt idx="17">
                  <c:v>52.6</c:v>
                </c:pt>
                <c:pt idx="18">
                  <c:v>24.4</c:v>
                </c:pt>
                <c:pt idx="19">
                  <c:v>48.1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943-4A1C-93AD-3433F10C4961}"/>
            </c:ext>
          </c:extLst>
        </c:ser>
        <c:ser>
          <c:idx val="2"/>
          <c:order val="2"/>
          <c:tx>
            <c:strRef>
              <c:f>'Fall2019 and Spring 2020'!$D$24</c:f>
              <c:strCache>
                <c:ptCount val="1"/>
                <c:pt idx="0">
                  <c:v>Spring 2020 (half online)</c:v>
                </c:pt>
              </c:strCache>
            </c:strRef>
          </c:tx>
          <c:spPr>
            <a:solidFill>
              <a:schemeClr val="dk1">
                <a:tint val="75000"/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cat>
            <c:numRef>
              <c:f>'Fall2019 and Spring 2020'!$A$25:$A$44</c:f>
              <c:numCache>
                <c:formatCode>General</c:formatCode>
                <c:ptCount val="2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18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19</c:v>
                </c:pt>
                <c:pt idx="19">
                  <c:v>20</c:v>
                </c:pt>
              </c:numCache>
            </c:numRef>
          </c:cat>
          <c:val>
            <c:numRef>
              <c:f>'Fall2019 and Spring 2020'!$D$25:$D$44</c:f>
              <c:numCache>
                <c:formatCode>General</c:formatCode>
                <c:ptCount val="20"/>
                <c:pt idx="0">
                  <c:v>65.099999999999994</c:v>
                </c:pt>
                <c:pt idx="1">
                  <c:v>66.3</c:v>
                </c:pt>
                <c:pt idx="2">
                  <c:v>70.900000000000006</c:v>
                </c:pt>
                <c:pt idx="3">
                  <c:v>68.599999999999994</c:v>
                </c:pt>
                <c:pt idx="4">
                  <c:v>54.7</c:v>
                </c:pt>
                <c:pt idx="5">
                  <c:v>62.8</c:v>
                </c:pt>
                <c:pt idx="6">
                  <c:v>84.9</c:v>
                </c:pt>
                <c:pt idx="7">
                  <c:v>94.2</c:v>
                </c:pt>
                <c:pt idx="8">
                  <c:v>44.2</c:v>
                </c:pt>
                <c:pt idx="9">
                  <c:v>48.8</c:v>
                </c:pt>
                <c:pt idx="10">
                  <c:v>82.6</c:v>
                </c:pt>
                <c:pt idx="11">
                  <c:v>79.099999999999994</c:v>
                </c:pt>
                <c:pt idx="12">
                  <c:v>50</c:v>
                </c:pt>
                <c:pt idx="13">
                  <c:v>67.400000000000006</c:v>
                </c:pt>
                <c:pt idx="14">
                  <c:v>76.7</c:v>
                </c:pt>
                <c:pt idx="15">
                  <c:v>69.8</c:v>
                </c:pt>
                <c:pt idx="16">
                  <c:v>51.2</c:v>
                </c:pt>
                <c:pt idx="17">
                  <c:v>58.2</c:v>
                </c:pt>
                <c:pt idx="18">
                  <c:v>39.5</c:v>
                </c:pt>
                <c:pt idx="19">
                  <c:v>53.5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943-4A1C-93AD-3433F10C4961}"/>
            </c:ext>
          </c:extLst>
        </c:ser>
        <c:ser>
          <c:idx val="3"/>
          <c:order val="3"/>
          <c:tx>
            <c:strRef>
              <c:f>'Fall2019 and Spring 2020'!$E$24</c:f>
              <c:strCache>
                <c:ptCount val="1"/>
                <c:pt idx="0">
                  <c:v>Fall 2020 (online)</c:v>
                </c:pt>
              </c:strCache>
            </c:strRef>
          </c:tx>
          <c:spPr>
            <a:solidFill>
              <a:schemeClr val="dk1">
                <a:tint val="98500"/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cat>
            <c:numRef>
              <c:f>'Fall2019 and Spring 2020'!$A$25:$A$44</c:f>
              <c:numCache>
                <c:formatCode>General</c:formatCode>
                <c:ptCount val="2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18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19</c:v>
                </c:pt>
                <c:pt idx="19">
                  <c:v>20</c:v>
                </c:pt>
              </c:numCache>
            </c:numRef>
          </c:cat>
          <c:val>
            <c:numRef>
              <c:f>'Fall2019 and Spring 2020'!$E$25:$E$44</c:f>
              <c:numCache>
                <c:formatCode>General</c:formatCode>
                <c:ptCount val="20"/>
                <c:pt idx="0">
                  <c:v>71</c:v>
                </c:pt>
                <c:pt idx="1">
                  <c:v>64</c:v>
                </c:pt>
                <c:pt idx="2">
                  <c:v>78</c:v>
                </c:pt>
                <c:pt idx="3">
                  <c:v>70</c:v>
                </c:pt>
                <c:pt idx="4">
                  <c:v>48</c:v>
                </c:pt>
                <c:pt idx="5">
                  <c:v>64</c:v>
                </c:pt>
                <c:pt idx="6">
                  <c:v>87</c:v>
                </c:pt>
                <c:pt idx="7">
                  <c:v>87</c:v>
                </c:pt>
                <c:pt idx="8">
                  <c:v>38</c:v>
                </c:pt>
                <c:pt idx="9">
                  <c:v>54</c:v>
                </c:pt>
                <c:pt idx="10">
                  <c:v>77</c:v>
                </c:pt>
                <c:pt idx="11">
                  <c:v>77</c:v>
                </c:pt>
                <c:pt idx="12">
                  <c:v>50</c:v>
                </c:pt>
                <c:pt idx="13">
                  <c:v>77</c:v>
                </c:pt>
                <c:pt idx="14">
                  <c:v>68</c:v>
                </c:pt>
                <c:pt idx="15">
                  <c:v>55</c:v>
                </c:pt>
                <c:pt idx="16">
                  <c:v>62</c:v>
                </c:pt>
                <c:pt idx="17">
                  <c:v>62</c:v>
                </c:pt>
                <c:pt idx="18">
                  <c:v>31</c:v>
                </c:pt>
                <c:pt idx="19">
                  <c:v>62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F943-4A1C-93AD-3433F10C496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317"/>
        <c:axId val="1719348416"/>
        <c:axId val="1719351328"/>
      </c:barChart>
      <c:catAx>
        <c:axId val="1719348416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200" b="1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1200"/>
                  <a:t>Question</a:t>
                </a:r>
                <a:r>
                  <a:rPr lang="en-US" sz="1200" baseline="0"/>
                  <a:t> number</a:t>
                </a:r>
                <a:endParaRPr lang="en-US" sz="1200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200" b="1" i="0" u="none" strike="noStrike" kern="1200" baseline="0">
                  <a:solidFill>
                    <a:schemeClr val="dk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719351328"/>
        <c:crosses val="autoZero"/>
        <c:auto val="1"/>
        <c:lblAlgn val="ctr"/>
        <c:lblOffset val="100"/>
        <c:noMultiLvlLbl val="0"/>
      </c:catAx>
      <c:valAx>
        <c:axId val="1719351328"/>
        <c:scaling>
          <c:orientation val="minMax"/>
        </c:scaling>
        <c:delete val="0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200" b="1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1200"/>
                  <a:t>Number</a:t>
                </a:r>
                <a:r>
                  <a:rPr lang="en-US" sz="1200" baseline="0"/>
                  <a:t> of students anwered correctly (%)</a:t>
                </a:r>
                <a:endParaRPr lang="en-US" sz="1200"/>
              </a:p>
            </c:rich>
          </c:tx>
          <c:layout>
            <c:manualLayout>
              <c:xMode val="edge"/>
              <c:yMode val="edge"/>
              <c:x val="3.5075503384989271E-2"/>
              <c:y val="0.14352601741858234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200" b="1" i="0" u="none" strike="noStrike" kern="1200" baseline="0">
                  <a:solidFill>
                    <a:schemeClr val="dk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7193484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80002381646738607"/>
          <c:y val="1.4418819203019097E-2"/>
          <c:w val="0.19997618353261398"/>
          <c:h val="0.33477955488264516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222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  <c:userShapes r:id="rId4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200" b="1" i="0" baseline="0">
                <a:effectLst/>
              </a:rPr>
              <a:t>Number of students answer correctly in each MSLO question (Fall 2020)</a:t>
            </a:r>
            <a:endParaRPr lang="en-US" sz="12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13954760863225429"/>
          <c:y val="0.12061303270238853"/>
          <c:w val="0.75321704578594351"/>
          <c:h val="0.7761220130884448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'Fall2019 and Spring 2020'!$E$24</c:f>
              <c:strCache>
                <c:ptCount val="1"/>
                <c:pt idx="0">
                  <c:v>Fall 2020 (online)</c:v>
                </c:pt>
              </c:strCache>
            </c:strRef>
          </c:tx>
          <c:spPr>
            <a:solidFill>
              <a:schemeClr val="dk1">
                <a:tint val="88500"/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delete val="1"/>
          </c:dLbls>
          <c:cat>
            <c:numRef>
              <c:f>'Fall2019 and Spring 2020'!$A$25:$A$44</c:f>
              <c:numCache>
                <c:formatCode>General</c:formatCode>
                <c:ptCount val="2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18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19</c:v>
                </c:pt>
                <c:pt idx="19">
                  <c:v>20</c:v>
                </c:pt>
              </c:numCache>
            </c:numRef>
          </c:cat>
          <c:val>
            <c:numRef>
              <c:f>'Fall2019 and Spring 2020'!$E$25:$E$44</c:f>
              <c:numCache>
                <c:formatCode>General</c:formatCode>
                <c:ptCount val="20"/>
                <c:pt idx="0">
                  <c:v>71</c:v>
                </c:pt>
                <c:pt idx="1">
                  <c:v>64</c:v>
                </c:pt>
                <c:pt idx="2">
                  <c:v>78</c:v>
                </c:pt>
                <c:pt idx="3">
                  <c:v>70</c:v>
                </c:pt>
                <c:pt idx="4">
                  <c:v>48</c:v>
                </c:pt>
                <c:pt idx="5">
                  <c:v>64</c:v>
                </c:pt>
                <c:pt idx="6">
                  <c:v>87</c:v>
                </c:pt>
                <c:pt idx="7">
                  <c:v>87</c:v>
                </c:pt>
                <c:pt idx="8">
                  <c:v>38</c:v>
                </c:pt>
                <c:pt idx="9">
                  <c:v>54</c:v>
                </c:pt>
                <c:pt idx="10">
                  <c:v>77</c:v>
                </c:pt>
                <c:pt idx="11">
                  <c:v>77</c:v>
                </c:pt>
                <c:pt idx="12">
                  <c:v>50</c:v>
                </c:pt>
                <c:pt idx="13">
                  <c:v>77</c:v>
                </c:pt>
                <c:pt idx="14">
                  <c:v>68</c:v>
                </c:pt>
                <c:pt idx="15">
                  <c:v>55</c:v>
                </c:pt>
                <c:pt idx="16">
                  <c:v>62</c:v>
                </c:pt>
                <c:pt idx="17">
                  <c:v>62</c:v>
                </c:pt>
                <c:pt idx="18">
                  <c:v>31</c:v>
                </c:pt>
                <c:pt idx="19">
                  <c:v>62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F66-48C8-A1BB-E89E6910AB5B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1475105103"/>
        <c:axId val="1475098447"/>
      </c:barChart>
      <c:catAx>
        <c:axId val="147510510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475098447"/>
        <c:crosses val="autoZero"/>
        <c:auto val="1"/>
        <c:lblAlgn val="ctr"/>
        <c:lblOffset val="100"/>
        <c:noMultiLvlLbl val="0"/>
      </c:catAx>
      <c:valAx>
        <c:axId val="1475098447"/>
        <c:scaling>
          <c:orientation val="minMax"/>
        </c:scaling>
        <c:delete val="0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1800" b="1" i="0" baseline="0">
                    <a:effectLst/>
                  </a:rPr>
                  <a:t>Number of students anwered correctly (%)</a:t>
                </a:r>
                <a:endParaRPr lang="en-US">
                  <a:effectLst/>
                </a:endParaRP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1" i="0" u="none" strike="noStrike" kern="1200" baseline="0">
                  <a:solidFill>
                    <a:schemeClr val="dk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475105103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  <c:userShapes r:id="rId4"/>
</c:chartSpace>
</file>

<file path=word/charts/colors1.xml><?xml version="1.0" encoding="utf-8"?>
<cs:colorStyle xmlns:cs="http://schemas.microsoft.com/office/drawing/2012/chartStyle" xmlns:a="http://schemas.openxmlformats.org/drawingml/2006/main" meth="cycle" id="20">
  <a:schemeClr val="dk1"/>
  <cs:variation>
    <a:tint val="88500"/>
  </cs:variation>
  <cs:variation>
    <a:tint val="55000"/>
  </cs:variation>
  <cs:variation>
    <a:tint val="75000"/>
  </cs:variation>
  <cs:variation>
    <a:tint val="98500"/>
  </cs:variation>
  <cs:variation>
    <a:tint val="30000"/>
  </cs:variation>
  <cs:variation>
    <a:tint val="60000"/>
  </cs:variation>
  <cs:variation>
    <a:tint val="8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20">
  <a:schemeClr val="dk1"/>
  <cs:variation>
    <a:tint val="88500"/>
  </cs:variation>
  <cs:variation>
    <a:tint val="55000"/>
  </cs:variation>
  <cs:variation>
    <a:tint val="75000"/>
  </cs:variation>
  <cs:variation>
    <a:tint val="98500"/>
  </cs:variation>
  <cs:variation>
    <a:tint val="30000"/>
  </cs:variation>
  <cs:variation>
    <a:tint val="60000"/>
  </cs:variation>
  <cs:variation>
    <a:tint val="8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5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05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0.10982</cdr:x>
      <cdr:y>0.49575</cdr:y>
    </cdr:from>
    <cdr:to>
      <cdr:x>0.89967</cdr:x>
      <cdr:y>0.49891</cdr:y>
    </cdr:to>
    <cdr:cxnSp macro="">
      <cdr:nvCxnSpPr>
        <cdr:cNvPr id="2" name="Straight Arrow Connector 1"/>
        <cdr:cNvCxnSpPr/>
      </cdr:nvCxnSpPr>
      <cdr:spPr>
        <a:xfrm xmlns:a="http://schemas.openxmlformats.org/drawingml/2006/main" flipV="1">
          <a:off x="903786" y="1542197"/>
          <a:ext cx="6500124" cy="9857"/>
        </a:xfrm>
        <a:prstGeom xmlns:a="http://schemas.openxmlformats.org/drawingml/2006/main" prst="straightConnector1">
          <a:avLst/>
        </a:prstGeom>
        <a:ln xmlns:a="http://schemas.openxmlformats.org/drawingml/2006/main" w="12700">
          <a:solidFill>
            <a:srgbClr val="FF0000"/>
          </a:solidFill>
          <a:prstDash val="dash"/>
          <a:tailEnd type="triangle"/>
        </a:ln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0.26388</cdr:x>
      <cdr:y>0.41073</cdr:y>
    </cdr:from>
    <cdr:to>
      <cdr:x>0.32504</cdr:x>
      <cdr:y>0.47644</cdr:y>
    </cdr:to>
    <cdr:sp macro="" textlink="">
      <cdr:nvSpPr>
        <cdr:cNvPr id="5" name="Text Box 2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2171662" y="1277716"/>
          <a:ext cx="503299" cy="204415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</cdr:spPr>
      <cdr:txBody>
        <a:bodyPr xmlns:a="http://schemas.openxmlformats.org/drawingml/2006/main" rot="0" vert="horz" wrap="square" lIns="91440" tIns="45720" rIns="91440" bIns="45720" anchor="t" anchorCtr="0">
          <a:spAutoFit/>
        </a:bodyPr>
        <a:lstStyle xmlns:a="http://schemas.openxmlformats.org/drawingml/2006/main"/>
        <a:p xmlns:a="http://schemas.openxmlformats.org/drawingml/2006/main">
          <a:pPr marL="0" marR="0">
            <a:lnSpc>
              <a:spcPct val="107000"/>
            </a:lnSpc>
            <a:spcBef>
              <a:spcPts val="0"/>
            </a:spcBef>
            <a:spcAft>
              <a:spcPts val="800"/>
            </a:spcAft>
          </a:pPr>
          <a:r>
            <a:rPr lang="en-US" sz="700">
              <a:solidFill>
                <a:srgbClr val="FF0000"/>
              </a:solidFill>
              <a:effectLst/>
              <a:latin typeface="Calibri" panose="020F0502020204030204" pitchFamily="34" charset="0"/>
              <a:ea typeface="Calibri" panose="020F0502020204030204" pitchFamily="34" charset="0"/>
              <a:cs typeface="Times New Roman" panose="02020603050405020304" pitchFamily="18" charset="0"/>
            </a:rPr>
            <a:t>MSLO5</a:t>
          </a:r>
        </a:p>
      </cdr:txBody>
    </cdr:sp>
  </cdr:relSizeAnchor>
  <cdr:relSizeAnchor xmlns:cdr="http://schemas.openxmlformats.org/drawingml/2006/chartDrawing">
    <cdr:from>
      <cdr:x>0.41682</cdr:x>
      <cdr:y>0.40951</cdr:y>
    </cdr:from>
    <cdr:to>
      <cdr:x>0.47798</cdr:x>
      <cdr:y>0.47522</cdr:y>
    </cdr:to>
    <cdr:sp macro="" textlink="">
      <cdr:nvSpPr>
        <cdr:cNvPr id="6" name="Text Box 2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3430290" y="1273925"/>
          <a:ext cx="503299" cy="204415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</cdr:spPr>
      <cdr:txBody>
        <a:bodyPr xmlns:a="http://schemas.openxmlformats.org/drawingml/2006/main" rot="0" vert="horz" wrap="square" lIns="91440" tIns="45720" rIns="91440" bIns="45720" anchor="t" anchorCtr="0">
          <a:spAutoFit/>
        </a:bodyPr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marL="0" marR="0">
            <a:lnSpc>
              <a:spcPct val="107000"/>
            </a:lnSpc>
            <a:spcBef>
              <a:spcPts val="0"/>
            </a:spcBef>
            <a:spcAft>
              <a:spcPts val="800"/>
            </a:spcAft>
          </a:pPr>
          <a:r>
            <a:rPr lang="en-US" sz="700">
              <a:solidFill>
                <a:srgbClr val="FF0000"/>
              </a:solidFill>
              <a:effectLst/>
              <a:latin typeface="Calibri" panose="020F0502020204030204" pitchFamily="34" charset="0"/>
              <a:ea typeface="Calibri" panose="020F0502020204030204" pitchFamily="34" charset="0"/>
              <a:cs typeface="Times New Roman" panose="02020603050405020304" pitchFamily="18" charset="0"/>
            </a:rPr>
            <a:t>MSLO8</a:t>
          </a:r>
        </a:p>
      </cdr:txBody>
    </cdr:sp>
  </cdr:relSizeAnchor>
  <cdr:relSizeAnchor xmlns:cdr="http://schemas.openxmlformats.org/drawingml/2006/chartDrawing">
    <cdr:from>
      <cdr:x>0.47015</cdr:x>
      <cdr:y>0.78997</cdr:y>
    </cdr:from>
    <cdr:to>
      <cdr:x>0.53308</cdr:x>
      <cdr:y>0.85735</cdr:y>
    </cdr:to>
    <cdr:sp macro="" textlink="">
      <cdr:nvSpPr>
        <cdr:cNvPr id="7" name="Text Box 2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3869140" y="2457488"/>
          <a:ext cx="517857" cy="209609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solidFill>
            <a:srgbClr val="C00000"/>
          </a:solidFill>
          <a:miter lim="800000"/>
          <a:headEnd/>
          <a:tailEnd/>
        </a:ln>
      </cdr:spPr>
      <cdr:txBody>
        <a:bodyPr xmlns:a="http://schemas.openxmlformats.org/drawingml/2006/main" rot="0" vert="horz" wrap="square" lIns="91440" tIns="45720" rIns="91440" bIns="45720" anchor="t" anchorCtr="0">
          <a:spAutoFit/>
        </a:bodyPr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marL="0" marR="0">
            <a:lnSpc>
              <a:spcPct val="107000"/>
            </a:lnSpc>
            <a:spcBef>
              <a:spcPts val="0"/>
            </a:spcBef>
            <a:spcAft>
              <a:spcPts val="800"/>
            </a:spcAft>
          </a:pPr>
          <a:r>
            <a:rPr lang="en-US" sz="700">
              <a:solidFill>
                <a:srgbClr val="FF0000"/>
              </a:solidFill>
              <a:effectLst/>
              <a:latin typeface="Calibri" panose="020F0502020204030204" pitchFamily="34" charset="0"/>
              <a:ea typeface="Calibri" panose="020F0502020204030204" pitchFamily="34" charset="0"/>
              <a:cs typeface="Times New Roman" panose="02020603050405020304" pitchFamily="18" charset="0"/>
            </a:rPr>
            <a:t>MSLO9</a:t>
          </a:r>
        </a:p>
      </cdr:txBody>
    </cdr:sp>
  </cdr:relSizeAnchor>
  <cdr:relSizeAnchor xmlns:cdr="http://schemas.openxmlformats.org/drawingml/2006/chartDrawing">
    <cdr:from>
      <cdr:x>0.58872</cdr:x>
      <cdr:y>0.79314</cdr:y>
    </cdr:from>
    <cdr:to>
      <cdr:x>0.67993</cdr:x>
      <cdr:y>0.86052</cdr:y>
    </cdr:to>
    <cdr:sp macro="" textlink="">
      <cdr:nvSpPr>
        <cdr:cNvPr id="8" name="Text Box 2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4844956" y="2467347"/>
          <a:ext cx="750626" cy="209609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solidFill>
            <a:srgbClr val="C00000"/>
          </a:solidFill>
          <a:miter lim="800000"/>
          <a:headEnd/>
          <a:tailEnd/>
        </a:ln>
      </cdr:spPr>
      <cdr:txBody>
        <a:bodyPr xmlns:a="http://schemas.openxmlformats.org/drawingml/2006/main" rot="0" vert="horz" wrap="square" lIns="91440" tIns="45720" rIns="91440" bIns="45720" anchor="t" anchorCtr="0">
          <a:spAutoFit/>
        </a:bodyPr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marL="0" marR="0">
            <a:lnSpc>
              <a:spcPct val="107000"/>
            </a:lnSpc>
            <a:spcBef>
              <a:spcPts val="0"/>
            </a:spcBef>
            <a:spcAft>
              <a:spcPts val="800"/>
            </a:spcAft>
          </a:pPr>
          <a:r>
            <a:rPr lang="en-US" sz="700">
              <a:solidFill>
                <a:srgbClr val="FF0000"/>
              </a:solidFill>
              <a:effectLst/>
              <a:latin typeface="Calibri" panose="020F0502020204030204" pitchFamily="34" charset="0"/>
              <a:ea typeface="Calibri" panose="020F0502020204030204" pitchFamily="34" charset="0"/>
              <a:cs typeface="Times New Roman" panose="02020603050405020304" pitchFamily="18" charset="0"/>
            </a:rPr>
            <a:t>       MSLO11</a:t>
          </a:r>
        </a:p>
      </cdr:txBody>
    </cdr:sp>
  </cdr:relSizeAnchor>
  <cdr:relSizeAnchor xmlns:cdr="http://schemas.openxmlformats.org/drawingml/2006/chartDrawing">
    <cdr:from>
      <cdr:x>0.79779</cdr:x>
      <cdr:y>0.50042</cdr:y>
    </cdr:from>
    <cdr:to>
      <cdr:x>0.85895</cdr:x>
      <cdr:y>0.5678</cdr:y>
    </cdr:to>
    <cdr:sp macro="" textlink="">
      <cdr:nvSpPr>
        <cdr:cNvPr id="9" name="Text Box 2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6565485" y="1556737"/>
          <a:ext cx="503299" cy="209609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</cdr:spPr>
      <cdr:txBody>
        <a:bodyPr xmlns:a="http://schemas.openxmlformats.org/drawingml/2006/main" rot="0" vert="horz" wrap="square" lIns="91440" tIns="45720" rIns="91440" bIns="45720" anchor="t" anchorCtr="0">
          <a:spAutoFit/>
        </a:bodyPr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marL="0" marR="0">
            <a:lnSpc>
              <a:spcPct val="107000"/>
            </a:lnSpc>
            <a:spcBef>
              <a:spcPts val="0"/>
            </a:spcBef>
            <a:spcAft>
              <a:spcPts val="800"/>
            </a:spcAft>
          </a:pPr>
          <a:r>
            <a:rPr lang="en-US" sz="700">
              <a:solidFill>
                <a:srgbClr val="FF0000"/>
              </a:solidFill>
              <a:effectLst/>
              <a:latin typeface="Calibri" panose="020F0502020204030204" pitchFamily="34" charset="0"/>
              <a:ea typeface="Calibri" panose="020F0502020204030204" pitchFamily="34" charset="0"/>
              <a:cs typeface="Times New Roman" panose="02020603050405020304" pitchFamily="18" charset="0"/>
            </a:rPr>
            <a:t>MSLO15</a:t>
          </a:r>
        </a:p>
      </cdr:txBody>
    </cdr:sp>
  </cdr:relSizeAnchor>
  <cdr:relSizeAnchor xmlns:cdr="http://schemas.openxmlformats.org/drawingml/2006/chartDrawing">
    <cdr:from>
      <cdr:x>0.84008</cdr:x>
      <cdr:y>0.35564</cdr:y>
    </cdr:from>
    <cdr:to>
      <cdr:x>0.90123</cdr:x>
      <cdr:y>0.42302</cdr:y>
    </cdr:to>
    <cdr:sp macro="" textlink="">
      <cdr:nvSpPr>
        <cdr:cNvPr id="11" name="Text Box 2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6913502" y="1106361"/>
          <a:ext cx="503299" cy="209609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</cdr:spPr>
      <cdr:txBody>
        <a:bodyPr xmlns:a="http://schemas.openxmlformats.org/drawingml/2006/main" rot="0" vert="horz" wrap="square" lIns="91440" tIns="45720" rIns="91440" bIns="45720" anchor="t" anchorCtr="0">
          <a:spAutoFit/>
        </a:bodyPr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marL="0" marR="0">
            <a:lnSpc>
              <a:spcPct val="107000"/>
            </a:lnSpc>
            <a:spcBef>
              <a:spcPts val="0"/>
            </a:spcBef>
            <a:spcAft>
              <a:spcPts val="800"/>
            </a:spcAft>
          </a:pPr>
          <a:r>
            <a:rPr lang="en-US" sz="700">
              <a:solidFill>
                <a:srgbClr val="FF0000"/>
              </a:solidFill>
              <a:effectLst/>
              <a:latin typeface="Calibri" panose="020F0502020204030204" pitchFamily="34" charset="0"/>
              <a:ea typeface="Calibri" panose="020F0502020204030204" pitchFamily="34" charset="0"/>
              <a:cs typeface="Times New Roman" panose="02020603050405020304" pitchFamily="18" charset="0"/>
            </a:rPr>
            <a:t>MSLO14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0.90267</cdr:x>
      <cdr:y>0.48</cdr:y>
    </cdr:from>
    <cdr:to>
      <cdr:x>1</cdr:x>
      <cdr:y>0.79323</cdr:y>
    </cdr:to>
    <cdr:sp macro="" textlink="">
      <cdr:nvSpPr>
        <cdr:cNvPr id="2" name="TextBox 5"/>
        <cdr:cNvSpPr txBox="1"/>
      </cdr:nvSpPr>
      <cdr:spPr>
        <a:xfrm xmlns:a="http://schemas.openxmlformats.org/drawingml/2006/main">
          <a:off x="7428613" y="1580998"/>
          <a:ext cx="800987" cy="1031693"/>
        </a:xfrm>
        <a:prstGeom xmlns:a="http://schemas.openxmlformats.org/drawingml/2006/main" prst="rect">
          <a:avLst/>
        </a:prstGeom>
        <a:noFill xmlns:a="http://schemas.openxmlformats.org/drawingml/2006/main"/>
      </cdr:spPr>
      <cdr:style>
        <a:lnRef xmlns:a="http://schemas.openxmlformats.org/drawingml/2006/main" idx="0">
          <a:scrgbClr r="0" g="0" b="0"/>
        </a:lnRef>
        <a:fillRef xmlns:a="http://schemas.openxmlformats.org/drawingml/2006/main" idx="0">
          <a:scrgbClr r="0" g="0" b="0"/>
        </a:fillRef>
        <a:effectRef xmlns:a="http://schemas.openxmlformats.org/drawingml/2006/main" idx="0">
          <a:scrgbClr r="0" g="0" b="0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wrap="square" rtlCol="0" anchor="t">
          <a:spAutoFit/>
        </a:bodyPr>
        <a:lstStyle xmlns:a="http://schemas.openxmlformats.org/drawingml/2006/main">
          <a:lvl1pPr marL="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en-US" sz="1200"/>
            <a:t>50% of the  students anwered correctly</a:t>
          </a:r>
        </a:p>
      </cdr:txBody>
    </cdr:sp>
  </cdr:relSizeAnchor>
  <cdr:relSizeAnchor xmlns:cdr="http://schemas.openxmlformats.org/drawingml/2006/chartDrawing">
    <cdr:from>
      <cdr:x>0.13433</cdr:x>
      <cdr:y>0.51173</cdr:y>
    </cdr:from>
    <cdr:to>
      <cdr:x>0.90524</cdr:x>
      <cdr:y>0.51385</cdr:y>
    </cdr:to>
    <cdr:cxnSp macro="">
      <cdr:nvCxnSpPr>
        <cdr:cNvPr id="3" name="Straight Arrow Connector 2"/>
        <cdr:cNvCxnSpPr/>
      </cdr:nvCxnSpPr>
      <cdr:spPr>
        <a:xfrm xmlns:a="http://schemas.openxmlformats.org/drawingml/2006/main">
          <a:off x="1105469" y="1685499"/>
          <a:ext cx="6344294" cy="6993"/>
        </a:xfrm>
        <a:prstGeom xmlns:a="http://schemas.openxmlformats.org/drawingml/2006/main" prst="straightConnector1">
          <a:avLst/>
        </a:prstGeom>
        <a:ln xmlns:a="http://schemas.openxmlformats.org/drawingml/2006/main" w="12700">
          <a:solidFill>
            <a:srgbClr val="FF0000"/>
          </a:solidFill>
          <a:prstDash val="dash"/>
          <a:tailEnd type="triangle"/>
        </a:ln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0.59731</cdr:x>
      <cdr:y>0.30761</cdr:y>
    </cdr:from>
    <cdr:to>
      <cdr:x>0.70269</cdr:x>
      <cdr:y>0.92493</cdr:y>
    </cdr:to>
    <cdr:sp macro="" textlink="">
      <cdr:nvSpPr>
        <cdr:cNvPr id="5" name="Oval 4"/>
        <cdr:cNvSpPr/>
      </cdr:nvSpPr>
      <cdr:spPr>
        <a:xfrm xmlns:a="http://schemas.openxmlformats.org/drawingml/2006/main">
          <a:off x="4915583" y="1013187"/>
          <a:ext cx="867312" cy="2033292"/>
        </a:xfrm>
        <a:prstGeom xmlns:a="http://schemas.openxmlformats.org/drawingml/2006/main" prst="ellipse">
          <a:avLst/>
        </a:prstGeom>
        <a:noFill xmlns:a="http://schemas.openxmlformats.org/drawingml/2006/main"/>
        <a:ln xmlns:a="http://schemas.openxmlformats.org/drawingml/2006/main" w="9525">
          <a:solidFill>
            <a:srgbClr val="FF0000"/>
          </a:solidFill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rot="0" spcFirstLastPara="0" vert="horz" wrap="square" lIns="91440" tIns="45720" rIns="91440" bIns="45720" numCol="1" spcCol="0" rtlCol="0" fromWordArt="0" anchor="ctr" anchorCtr="0" forceAA="0" compatLnSpc="1">
          <a:prstTxWarp prst="textNoShape">
            <a:avLst/>
          </a:prstTxWarp>
          <a:noAutofit/>
        </a:bodyPr>
        <a:lstStyle xmlns:a="http://schemas.openxmlformats.org/drawingml/2006/main">
          <a:lvl1pPr marL="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endParaRPr lang="en-US"/>
        </a:p>
      </cdr:txBody>
    </cdr:sp>
  </cdr:relSizeAnchor>
  <cdr:relSizeAnchor xmlns:cdr="http://schemas.openxmlformats.org/drawingml/2006/chartDrawing">
    <cdr:from>
      <cdr:x>0.81979</cdr:x>
      <cdr:y>0.52969</cdr:y>
    </cdr:from>
    <cdr:to>
      <cdr:x>0.85112</cdr:x>
      <cdr:y>0.93166</cdr:y>
    </cdr:to>
    <cdr:sp macro="" textlink="">
      <cdr:nvSpPr>
        <cdr:cNvPr id="6" name="Oval 5"/>
        <cdr:cNvSpPr/>
      </cdr:nvSpPr>
      <cdr:spPr>
        <a:xfrm xmlns:a="http://schemas.openxmlformats.org/drawingml/2006/main">
          <a:off x="6746503" y="1744671"/>
          <a:ext cx="257853" cy="1323982"/>
        </a:xfrm>
        <a:prstGeom xmlns:a="http://schemas.openxmlformats.org/drawingml/2006/main" prst="ellipse">
          <a:avLst/>
        </a:prstGeom>
        <a:noFill xmlns:a="http://schemas.openxmlformats.org/drawingml/2006/main"/>
        <a:ln xmlns:a="http://schemas.openxmlformats.org/drawingml/2006/main" w="9525">
          <a:solidFill>
            <a:srgbClr val="FF0000"/>
          </a:solidFill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rot="0" spcFirstLastPara="0" vert="horz" wrap="square" lIns="91440" tIns="45720" rIns="91440" bIns="45720" numCol="1" spcCol="0" rtlCol="0" fromWordArt="0" anchor="ctr" anchorCtr="0" forceAA="0" compatLnSpc="1">
          <a:prstTxWarp prst="textNoShape">
            <a:avLst/>
          </a:prstTxWarp>
          <a:noAutofit/>
        </a:bodyPr>
        <a:lstStyle xmlns:a="http://schemas.openxmlformats.org/drawingml/2006/main">
          <a:lvl1pPr marL="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endParaRPr lang="en-US"/>
        </a:p>
      </cdr:txBody>
    </cdr:sp>
  </cdr:relSizeAnchor>
  <cdr:relSizeAnchor xmlns:cdr="http://schemas.openxmlformats.org/drawingml/2006/chartDrawing">
    <cdr:from>
      <cdr:x>0.85876</cdr:x>
      <cdr:y>0.39985</cdr:y>
    </cdr:from>
    <cdr:to>
      <cdr:x>0.89009</cdr:x>
      <cdr:y>0.92198</cdr:y>
    </cdr:to>
    <cdr:sp macro="" textlink="">
      <cdr:nvSpPr>
        <cdr:cNvPr id="7" name="Oval 6"/>
        <cdr:cNvSpPr/>
      </cdr:nvSpPr>
      <cdr:spPr>
        <a:xfrm xmlns:a="http://schemas.openxmlformats.org/drawingml/2006/main">
          <a:off x="7067225" y="1317009"/>
          <a:ext cx="257853" cy="1719767"/>
        </a:xfrm>
        <a:prstGeom xmlns:a="http://schemas.openxmlformats.org/drawingml/2006/main" prst="ellipse">
          <a:avLst/>
        </a:prstGeom>
        <a:noFill xmlns:a="http://schemas.openxmlformats.org/drawingml/2006/main"/>
        <a:ln xmlns:a="http://schemas.openxmlformats.org/drawingml/2006/main" w="9525">
          <a:solidFill>
            <a:srgbClr val="FF0000"/>
          </a:solidFill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rot="0" spcFirstLastPara="0" vert="horz" wrap="square" lIns="91440" tIns="45720" rIns="91440" bIns="45720" numCol="1" spcCol="0" rtlCol="0" fromWordArt="0" anchor="ctr" anchorCtr="0" forceAA="0" compatLnSpc="1">
          <a:prstTxWarp prst="textNoShape">
            <a:avLst/>
          </a:prstTxWarp>
          <a:noAutofit/>
        </a:bodyPr>
        <a:lstStyle xmlns:a="http://schemas.openxmlformats.org/drawingml/2006/main">
          <a:lvl1pPr marL="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endParaRPr lang="en-US"/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D12712E5D29F4B9445F7C1110FA0A4" ma:contentTypeVersion="8" ma:contentTypeDescription="Create a new document." ma:contentTypeScope="" ma:versionID="34da270b4345db264fb235c0b03fd28a">
  <xsd:schema xmlns:xsd="http://www.w3.org/2001/XMLSchema" xmlns:xs="http://www.w3.org/2001/XMLSchema" xmlns:p="http://schemas.microsoft.com/office/2006/metadata/properties" xmlns:ns2="0ff702e3-b6ae-4196-a375-e325204bc28b" xmlns:ns3="34225417-2831-44ec-ab17-65a6c812fd04" targetNamespace="http://schemas.microsoft.com/office/2006/metadata/properties" ma:root="true" ma:fieldsID="7de6a27828ee300cbe4685181d8cdeb0" ns2:_="" ns3:_="">
    <xsd:import namespace="0ff702e3-b6ae-4196-a375-e325204bc28b"/>
    <xsd:import namespace="34225417-2831-44ec-ab17-65a6c812fd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_Flow_SignoffStatus" minOccurs="0"/>
                <xsd:element ref="ns2:Comple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f702e3-b6ae-4196-a375-e325204bc2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Flow_SignoffStatus" ma:index="12" nillable="true" ma:displayName="Sign-off status" ma:internalName="Sign_x002d_off_x0020_status">
      <xsd:simpleType>
        <xsd:restriction base="dms:Text"/>
      </xsd:simpleType>
    </xsd:element>
    <xsd:element name="Completion" ma:index="13" nillable="true" ma:displayName="Completion" ma:default="1" ma:format="Dropdown" ma:internalName="Completion">
      <xsd:simpleType>
        <xsd:restriction base="dms:Boolean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225417-2831-44ec-ab17-65a6c812fd0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pletion xmlns="0ff702e3-b6ae-4196-a375-e325204bc28b">true</Completion>
    <_Flow_SignoffStatus xmlns="0ff702e3-b6ae-4196-a375-e325204bc28b" xsi:nil="true"/>
  </documentManagement>
</p:properties>
</file>

<file path=customXml/itemProps1.xml><?xml version="1.0" encoding="utf-8"?>
<ds:datastoreItem xmlns:ds="http://schemas.openxmlformats.org/officeDocument/2006/customXml" ds:itemID="{FB5ABB59-6B3F-4E45-BB24-FBF6D76C33A1}"/>
</file>

<file path=customXml/itemProps2.xml><?xml version="1.0" encoding="utf-8"?>
<ds:datastoreItem xmlns:ds="http://schemas.openxmlformats.org/officeDocument/2006/customXml" ds:itemID="{B66DC8C8-DE8A-4E0C-92F7-9D6305FDF048}"/>
</file>

<file path=customXml/itemProps3.xml><?xml version="1.0" encoding="utf-8"?>
<ds:datastoreItem xmlns:ds="http://schemas.openxmlformats.org/officeDocument/2006/customXml" ds:itemID="{4BCC74FE-2ABD-498F-92FD-B9D64C9292A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507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Arizona College</Company>
  <LinksUpToDate>false</LinksUpToDate>
  <CharactersWithSpaces>3395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Sunjung Park</dc:creator>
  <cp:keywords/>
  <dc:description/>
  <cp:lastModifiedBy>Mary Kieser</cp:lastModifiedBy>
  <cp:revision>2</cp:revision>
  <dcterms:created xsi:type="dcterms:W3CDTF">2021-02-09T14:51:00Z</dcterms:created>
  <dcterms:modified xsi:type="dcterms:W3CDTF">2021-02-09T14:51:00Z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0x010100E3D12712E5D29F4B9445F7C1110FA0A4</vt:lpwstr>
  </property>
</Properties>
</file>