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A80D05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</w:t>
      </w:r>
      <w:r w:rsidR="00A80D05">
        <w:rPr>
          <w:rFonts w:asciiTheme="minorHAnsi" w:hAnsiTheme="minorHAnsi" w:cstheme="minorHAnsi"/>
          <w:b/>
          <w:szCs w:val="24"/>
        </w:rPr>
        <w:t xml:space="preserve">ificates:  </w:t>
      </w:r>
    </w:p>
    <w:p w:rsidR="00110EA9" w:rsidRPr="00110EA9" w:rsidRDefault="00A80D05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Health Information Technology AAS Degree; Coding and Reimbursement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program's mission and goals are outcome-focused and relevant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mission of the sponsoring educational institution. The program must assess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appropriateness and effectiveness of the curriculum, with the results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program assessment used as the basis for ongoing planning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program improvement.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Curriculum validates the appropriateness and effectiveness of activities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assessments at the required Blooms Taxonomy Level (or higher), per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Domain, by comparing metrics generated from EAC Visual Data software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from semester to semester. 100% of all courses HIM will utilize </w:t>
            </w:r>
            <w:r w:rsidR="00BF2535">
              <w:rPr>
                <w:rFonts w:ascii="SegoeUI" w:hAnsi="SegoeUI" w:cs="SegoeUI"/>
                <w:sz w:val="22"/>
              </w:rPr>
              <w:t>EAC.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the Domain and Subdomain detail</w:t>
            </w:r>
            <w:r w:rsidR="00313B01">
              <w:rPr>
                <w:rFonts w:ascii="SegoeUI" w:hAnsi="SegoeUI" w:cs="SegoeUI"/>
                <w:sz w:val="22"/>
              </w:rPr>
              <w:t>.  T</w:t>
            </w:r>
            <w:r w:rsidR="0057221F">
              <w:rPr>
                <w:rFonts w:ascii="SegoeUI" w:hAnsi="SegoeUI" w:cs="SegoeUI"/>
                <w:sz w:val="22"/>
              </w:rPr>
              <w:t>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CAC Common Student Learning Outcomes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Build</w:t>
            </w:r>
            <w:r w:rsidR="0057221F">
              <w:rPr>
                <w:rFonts w:ascii="SegoeUI" w:hAnsi="SegoeUI" w:cs="SegoeUI"/>
                <w:sz w:val="22"/>
              </w:rPr>
              <w:t xml:space="preserve"> steps 1 and 2 into Blackboard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Get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training on how to use EAC; tagging and running reports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Tag</w:t>
            </w:r>
            <w:r w:rsidR="0057221F">
              <w:rPr>
                <w:rFonts w:ascii="SegoeUI" w:hAnsi="SegoeUI" w:cs="SegoeUI"/>
                <w:sz w:val="22"/>
              </w:rPr>
              <w:t xml:space="preserve"> activities and assessments in Blackboard for HIM courses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that demonstrate where competencies are being met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in process; 25%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Run reports from EAC to show results to analyze areas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strength and weakness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>
              <w:rPr>
                <w:rFonts w:ascii="SegoeUI" w:hAnsi="SegoeUI" w:cs="SegoeUI"/>
                <w:sz w:val="22"/>
              </w:rPr>
              <w:t>This is in process</w:t>
            </w:r>
          </w:p>
          <w:p w:rsidR="00BF2535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Adjust activities and/or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assignments to elevate student scores, and Background information: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is EAC?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"Our EAC Visual Data software streamlines the process of collecting,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analyzing, and reporting student learning outcomes data for faculty, deans,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department chairs, and assessment professionals. We designed this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powerful tool to integrate tightly with Blackboard Learn™ to creatively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leverage and extend the institution's LMS and to remain seamlessly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accessible and familiar to instructors and students".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https://www.edassess.net/About.aspxhttps://edassess.net/support/visualDataSupport.aspx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After all HIM courses are tagged in Blackboard using EAC, reports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ran to look at the data per Domain, per course.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These metrics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analyzed to make sure that all Domains are indeed covered, and at 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level.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Will identify areas where students excel or are weak, and will allow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the program to make adjustments as needed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Compare EAC data by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 with CAC graduate RHIT exam data by Domain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&amp; Evelyn Thomas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professional curriculum content that they are assigned to teach.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</w:p>
          <w:p w:rsidR="0057221F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Professional</w:t>
            </w:r>
            <w:r w:rsidR="0057221F">
              <w:rPr>
                <w:rFonts w:ascii="SegoeUI" w:hAnsi="SegoeUI" w:cs="SegoeUI"/>
                <w:sz w:val="22"/>
              </w:rPr>
              <w:t xml:space="preserve"> curriculum content that they are assigned to </w:t>
            </w:r>
            <w:r>
              <w:rPr>
                <w:rFonts w:ascii="SegoeUI" w:hAnsi="SegoeUI" w:cs="SegoeUI"/>
                <w:sz w:val="22"/>
              </w:rPr>
              <w:t>teach. This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components of advanced formal education.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Program staff will attend at least one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conference, and will either, present before a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organization or will volunteer with a professional association at either a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state or national level, on an annual basis.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Budget for both in-state and out-of state travel, annually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Schedule in</w:t>
            </w:r>
            <w:r w:rsidR="00313B01">
              <w:rPr>
                <w:rFonts w:ascii="SegoeUI" w:hAnsi="SegoeUI" w:cs="SegoeUI"/>
                <w:sz w:val="22"/>
              </w:rPr>
              <w:t xml:space="preserve"> A</w:t>
            </w:r>
            <w:r>
              <w:rPr>
                <w:rFonts w:ascii="SegoeUI" w:hAnsi="SegoeUI" w:cs="SegoeUI"/>
                <w:sz w:val="22"/>
              </w:rPr>
              <w:t>dvance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Follow travel policy; Proof of Registration and/or Proof of CEUs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Submit speaking proposals to state and national professional conferences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Sign up to volunteer for state or national professional associations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Seek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financial assistance from CSA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 xml:space="preserve">7. Share expenses when possible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Co-Presentations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Gain updated information from industry, particularly that which pertains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to the areas specifically taught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Share information with the rest of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team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Share information with advisory board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Share information with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students and alumni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Share information with institutional leadership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Maintain CEUs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Exposure of the program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Mentor others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9. Enhance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courses with new knowledge and/or materials gained from the above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and Evelyn Thomas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981">
              <w:rPr>
                <w:rFonts w:asciiTheme="minorHAnsi" w:hAnsiTheme="minorHAnsi" w:cstheme="minorHAnsi"/>
                <w:sz w:val="20"/>
                <w:szCs w:val="20"/>
              </w:rPr>
              <w:t xml:space="preserve">  $8000/year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assurance that the educational needs of students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met and that graduates demonstrate at least the AHIMA entry-level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curriculum competencies.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At least 80% of all students will score 70% or higher on their Mock RHIT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exam, or 210/300, or better during their practicum course.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Students complete one RHIT Mock exam during their last semester in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practicum course, prior to graduation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Students are encouraged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purchase and utilize an RHIT exam prep book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Mock exam scores are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calculated in Blackboard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Scores are analyzed to determine the % of students who score higher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than 70%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If equal to or greater than 80% of students score more than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70%, little to no action necessary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If less than 80% of students score more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than 70%, determine weak Domains and address accordingly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Ensure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Mock exam is current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Advisory Committee will assist program faculty and sponsoring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educational institution personnel with the development and revision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program goals and curriculum, monitoring program needs and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expectations, and ensuring program responsiveness to change.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Increase the number of advisory board meetings from one to two per year,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with one being face to face, and the other virtual. See that at least 75%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advisory board members be tasked with a specific duty that aids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vitality of the program, on an annual basis.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Schedule meetings; face to face in the fall, and virtual in the spring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Task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members to aid the program by such things as:-hosting a student for PPE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hosting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mock interview-create a video to be shared with students in 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HIM course; "guest lecturer"-present on a hot topic at a meeting-invite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another professional to a future meeting-will review 2 courses per year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ensure that content meets domains-agree to mentor a student-connecting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student advisory board member with a professional member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Members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asked to report their progress/status/findings at the next meeting, as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applicable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Increase breadth and depth of advisory board involvement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Strengthen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support of industry as HIM curriculum prepares for new competencies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</w:t>
            </w:r>
          </w:p>
          <w:p w:rsidR="00683E26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EAC alignment has been made for 50% of the courses.</w:t>
            </w:r>
          </w:p>
          <w:p w:rsidR="00882008" w:rsidRP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Gap analysis of the 2014 to the 2018 HIT Associate Degree Curriculum is underway and will be completed by August 2020</w:t>
            </w:r>
          </w:p>
          <w:p w:rsidR="00882008" w:rsidRDefault="00882008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</w:t>
            </w: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Sandra attended and spoke at both the 2019 Assembly on Education (July-Atlanta, GA) and the 2019 AHIMA Health Data and Information Conference (September-Chicago, IL)</w:t>
            </w:r>
          </w:p>
          <w:p w:rsidR="00882008" w:rsidRP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Evea spoke at Arizona Coding Round Table meeting (October-Tucson)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3</w:t>
            </w: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Progress</w:t>
            </w:r>
          </w:p>
          <w:p w:rsidR="00882008" w:rsidRDefault="00882008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Sandra and Evea participated in 2 RHIT Exam Prep Workshops in collaboration with Phoenix College and Bryan University</w:t>
            </w:r>
          </w:p>
          <w:p w:rsidR="006A7691" w:rsidRDefault="006A769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7691" w:rsidRDefault="006A769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4</w:t>
            </w:r>
          </w:p>
          <w:p w:rsidR="006A7691" w:rsidRDefault="006A769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Progress </w:t>
            </w:r>
          </w:p>
          <w:p w:rsidR="006A7691" w:rsidRDefault="006A769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 19-20 Advisory Board Meeting needs scheduled</w:t>
            </w:r>
          </w:p>
          <w:p w:rsidR="006A7691" w:rsidRPr="00882008" w:rsidRDefault="006A769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 was set up to conduct Virtual Meeting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EF6F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Submitted by:         </w:t>
            </w:r>
            <w:r w:rsidR="00EF6F90">
              <w:rPr>
                <w:rFonts w:asciiTheme="minorHAnsi" w:hAnsiTheme="minorHAnsi" w:cstheme="minorHAnsi"/>
                <w:i/>
                <w:sz w:val="20"/>
                <w:szCs w:val="20"/>
              </w:rPr>
              <w:t>Sandra S. Brightwell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                        Date:</w:t>
            </w:r>
            <w:r w:rsidR="008820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11-12-2019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3F" w:rsidRDefault="00C6033F" w:rsidP="00B16A25">
      <w:pPr>
        <w:spacing w:line="240" w:lineRule="auto"/>
      </w:pPr>
      <w:r>
        <w:separator/>
      </w:r>
    </w:p>
  </w:endnote>
  <w:endnote w:type="continuationSeparator" w:id="0">
    <w:p w:rsidR="00C6033F" w:rsidRDefault="00C6033F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U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3F" w:rsidRDefault="00C6033F" w:rsidP="00B16A25">
      <w:pPr>
        <w:spacing w:line="240" w:lineRule="auto"/>
      </w:pPr>
      <w:r>
        <w:separator/>
      </w:r>
    </w:p>
  </w:footnote>
  <w:footnote w:type="continuationSeparator" w:id="0">
    <w:p w:rsidR="00C6033F" w:rsidRDefault="00C6033F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17981"/>
    <w:rsid w:val="0012103D"/>
    <w:rsid w:val="001572FD"/>
    <w:rsid w:val="002116DA"/>
    <w:rsid w:val="002A7035"/>
    <w:rsid w:val="002A71C0"/>
    <w:rsid w:val="002E2B18"/>
    <w:rsid w:val="002E6C40"/>
    <w:rsid w:val="00313B01"/>
    <w:rsid w:val="003B0B63"/>
    <w:rsid w:val="004D49F6"/>
    <w:rsid w:val="0057221F"/>
    <w:rsid w:val="005A257E"/>
    <w:rsid w:val="00683E26"/>
    <w:rsid w:val="006A7691"/>
    <w:rsid w:val="007216FC"/>
    <w:rsid w:val="00753C1D"/>
    <w:rsid w:val="00764E98"/>
    <w:rsid w:val="007978BC"/>
    <w:rsid w:val="00882008"/>
    <w:rsid w:val="00956E87"/>
    <w:rsid w:val="009E44AE"/>
    <w:rsid w:val="00A63C23"/>
    <w:rsid w:val="00A80D05"/>
    <w:rsid w:val="00B16A25"/>
    <w:rsid w:val="00B73FEF"/>
    <w:rsid w:val="00BF2535"/>
    <w:rsid w:val="00C6033F"/>
    <w:rsid w:val="00CA522E"/>
    <w:rsid w:val="00CD4668"/>
    <w:rsid w:val="00D807A0"/>
    <w:rsid w:val="00D92ADC"/>
    <w:rsid w:val="00DE044F"/>
    <w:rsid w:val="00DE1627"/>
    <w:rsid w:val="00E73806"/>
    <w:rsid w:val="00EF6F90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7" ma:contentTypeDescription="Create a new document." ma:contentTypeScope="" ma:versionID="4cd7f04cadbe8ca0400195b3d7da32a2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14e9a766acc2991bd27b8bbd14ed4af4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EF689-C188-4957-B1D8-F17026285217}"/>
</file>

<file path=customXml/itemProps2.xml><?xml version="1.0" encoding="utf-8"?>
<ds:datastoreItem xmlns:ds="http://schemas.openxmlformats.org/officeDocument/2006/customXml" ds:itemID="{795C2968-81D5-400C-A864-724461F9F9B4}"/>
</file>

<file path=customXml/itemProps3.xml><?xml version="1.0" encoding="utf-8"?>
<ds:datastoreItem xmlns:ds="http://schemas.openxmlformats.org/officeDocument/2006/customXml" ds:itemID="{D1182710-D9FA-4321-946C-7F1F0AF70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2020-01-09T15:24:00Z</dcterms:created>
  <dcterms:modified xsi:type="dcterms:W3CDTF">2020-01-09T15:24:00Z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