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FC" w:rsidRDefault="007216FC" w:rsidP="007216F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40"/>
          <w:szCs w:val="40"/>
        </w:rPr>
        <w:t>Academic Program Review</w:t>
      </w:r>
      <w:r w:rsidR="00683E26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Action Plan</w:t>
      </w:r>
    </w:p>
    <w:p w:rsidR="00A80D05" w:rsidRDefault="00110EA9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Program Degree and/or Cert</w:t>
      </w:r>
      <w:r w:rsidR="00A80D05">
        <w:rPr>
          <w:rFonts w:asciiTheme="minorHAnsi" w:hAnsiTheme="minorHAnsi" w:cstheme="minorHAnsi"/>
          <w:b/>
          <w:szCs w:val="24"/>
        </w:rPr>
        <w:t xml:space="preserve">ificates:  </w:t>
      </w:r>
    </w:p>
    <w:p w:rsidR="00110EA9" w:rsidRPr="00110EA9" w:rsidRDefault="00A80D05" w:rsidP="007216F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Health Information Technology AAS Degree; Coding and Reimbursement Certificate</w:t>
      </w:r>
    </w:p>
    <w:tbl>
      <w:tblPr>
        <w:tblStyle w:val="TableGrid"/>
        <w:tblpPr w:leftFromText="180" w:rightFromText="180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736"/>
        <w:gridCol w:w="10054"/>
      </w:tblGrid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P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E26">
              <w:rPr>
                <w:rFonts w:asciiTheme="minorHAnsi" w:hAnsiTheme="minorHAnsi" w:cstheme="minorHAnsi"/>
                <w:sz w:val="20"/>
                <w:szCs w:val="20"/>
              </w:rPr>
              <w:t>In this form, program directors along with the appropriate Dean should indicate any goals or action plans for program improvement over the next 5 years, which have been identified as a result of the academic program review process.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1:</w:t>
            </w:r>
            <w:r w:rsidR="002E2B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program's mission and goals are outcome-focused and relevant to the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mission of the sponsoring educational institution. The program must assess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appropriateness and effectiveness of the curriculum, with the results of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program assessment used as the basis for ongoing planning and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program improvement.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Curriculum validates the appropriateness and effectiveness of activities and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assessments at the required Blooms Taxonomy Level (or higher), per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Domain, by comparing metrics generated from EAC Visual Data software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from semester to semester. 100% of all courses HIM will utilize </w:t>
            </w:r>
            <w:r w:rsidR="00BF2535">
              <w:rPr>
                <w:rFonts w:ascii="SegoeUI" w:hAnsi="SegoeUI" w:cs="SegoeUI"/>
                <w:sz w:val="22"/>
              </w:rPr>
              <w:t>EAC.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Provide</w:t>
            </w:r>
            <w:r w:rsidR="0057221F">
              <w:rPr>
                <w:rFonts w:ascii="SegoeUI" w:hAnsi="SegoeUI" w:cs="SegoeUI"/>
                <w:sz w:val="22"/>
              </w:rPr>
              <w:t xml:space="preserve"> EAC with the Domain and Subdomain detail</w:t>
            </w:r>
            <w:r w:rsidR="00313B01">
              <w:rPr>
                <w:rFonts w:ascii="SegoeUI" w:hAnsi="SegoeUI" w:cs="SegoeUI"/>
                <w:sz w:val="22"/>
              </w:rPr>
              <w:t>.  T</w:t>
            </w:r>
            <w:r w:rsidR="0057221F">
              <w:rPr>
                <w:rFonts w:ascii="SegoeUI" w:hAnsi="SegoeUI" w:cs="SegoeUI"/>
                <w:sz w:val="22"/>
              </w:rPr>
              <w:t>his 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Provide</w:t>
            </w:r>
            <w:r w:rsidR="0057221F">
              <w:rPr>
                <w:rFonts w:ascii="SegoeUI" w:hAnsi="SegoeUI" w:cs="SegoeUI"/>
                <w:sz w:val="22"/>
              </w:rPr>
              <w:t xml:space="preserve"> EAC with CAC Common Student Learning Outcomes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is 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Build</w:t>
            </w:r>
            <w:r w:rsidR="0057221F">
              <w:rPr>
                <w:rFonts w:ascii="SegoeUI" w:hAnsi="SegoeUI" w:cs="SegoeUI"/>
                <w:sz w:val="22"/>
              </w:rPr>
              <w:t xml:space="preserve"> steps 1 and 2 into Blackboard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 is 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Get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training on how to use EAC; tagging and running reports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 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Complete</w:t>
            </w:r>
          </w:p>
          <w:p w:rsidR="00313B01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5. Tag</w:t>
            </w:r>
            <w:r w:rsidR="0057221F">
              <w:rPr>
                <w:rFonts w:ascii="SegoeUI" w:hAnsi="SegoeUI" w:cs="SegoeUI"/>
                <w:sz w:val="22"/>
              </w:rPr>
              <w:t xml:space="preserve"> activities and assessments in Blackboard for HIM courses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that demonstrate where competencies are being met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 w:rsidR="0057221F">
              <w:rPr>
                <w:rFonts w:ascii="SegoeUI" w:hAnsi="SegoeUI" w:cs="SegoeUI"/>
                <w:sz w:val="22"/>
              </w:rPr>
              <w:t>This is in process; 25%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 w:rsidR="0057221F">
              <w:rPr>
                <w:rFonts w:ascii="SegoeUI" w:hAnsi="SegoeUI" w:cs="SegoeUI"/>
                <w:sz w:val="22"/>
              </w:rPr>
              <w:t>complete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6. Run reports from EAC to show results to analyze areas of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strength and weakness</w:t>
            </w:r>
            <w:r w:rsidR="00313B01">
              <w:rPr>
                <w:rFonts w:ascii="SegoeUI" w:hAnsi="SegoeUI" w:cs="SegoeUI"/>
                <w:sz w:val="22"/>
              </w:rPr>
              <w:t xml:space="preserve">.  </w:t>
            </w:r>
            <w:r>
              <w:rPr>
                <w:rFonts w:ascii="SegoeUI" w:hAnsi="SegoeUI" w:cs="SegoeUI"/>
                <w:sz w:val="22"/>
              </w:rPr>
              <w:t>This is in process</w:t>
            </w:r>
          </w:p>
          <w:p w:rsidR="00BF2535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7. Adjust activities and/or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assignments to elevate student scores, and Background information: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What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is EAC?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"Our EAC Visual Data software streamlines the process of collecting,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analyzing, and reporting student learning outcomes data for faculty, deans,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department chairs, and assessment professionals. We designed this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powerful tool to integrate tightly with Blackboard Learn™ to creatively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leverage and extend the institution's LMS and to remain seamlessly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accessible and familiar to instructors and students".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https://www.edassess.net/About.aspxhttps://edassess.net/support/visualDataSupport.aspx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After all HIM courses are tagged in Blackboard using EAC, reports will be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ran to look at the data per Domain, per course.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These metrics will be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analyzed to make sure that all Domains are indeed covered, and at what</w:t>
            </w:r>
            <w:r w:rsidR="00BF2535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level.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Will identify areas where students excel or are weak, and will allow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the program to make adjustments as needed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Compare EAC data by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Domain with CAC graduate RHIT exam data by Domain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 &amp; Evelyn Thomas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313B01" w:rsidRDefault="00313B0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B01" w:rsidRDefault="00313B0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B01" w:rsidRDefault="00313B01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2: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 will provide a plan for faculty that establishes or assesses the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knowledge, skills, qualifications, and experience pertinent to the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professional curriculum content that they are assigned to teach.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This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includes efforts to keep current in health information management and/or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other relevant professional content and practice, as well as other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 will provide a plan for faculty that establishes or assesses the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knowledge, skills, qualifications, and experience pertinent to the</w:t>
            </w:r>
          </w:p>
          <w:p w:rsidR="0057221F" w:rsidRDefault="00BF2535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Professional</w:t>
            </w:r>
            <w:r w:rsidR="0057221F">
              <w:rPr>
                <w:rFonts w:ascii="SegoeUI" w:hAnsi="SegoeUI" w:cs="SegoeUI"/>
                <w:sz w:val="22"/>
              </w:rPr>
              <w:t xml:space="preserve"> curriculum content that they are assigned to </w:t>
            </w:r>
            <w:r>
              <w:rPr>
                <w:rFonts w:ascii="SegoeUI" w:hAnsi="SegoeUI" w:cs="SegoeUI"/>
                <w:sz w:val="22"/>
              </w:rPr>
              <w:t>teach. This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includes efforts to keep current in health information management and/or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other relevant professional content and practice, as well as other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components of advanced formal education.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Program staff will attend at least one state or national professional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conference, and will either, present before a state or national professional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organization or will volunteer with a professional association at either a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state or national level, on an annual basis.</w:t>
            </w:r>
          </w:p>
          <w:p w:rsidR="00313B01" w:rsidRDefault="00313B0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Budget for both in-state and out-of state travel, annually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Schedule in</w:t>
            </w:r>
            <w:r w:rsidR="00313B01">
              <w:rPr>
                <w:rFonts w:ascii="SegoeUI" w:hAnsi="SegoeUI" w:cs="SegoeUI"/>
                <w:sz w:val="22"/>
              </w:rPr>
              <w:t xml:space="preserve"> A</w:t>
            </w:r>
            <w:r>
              <w:rPr>
                <w:rFonts w:ascii="SegoeUI" w:hAnsi="SegoeUI" w:cs="SegoeUI"/>
                <w:sz w:val="22"/>
              </w:rPr>
              <w:t>dvance</w:t>
            </w:r>
          </w:p>
          <w:p w:rsidR="00313B01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Follow travel policy; Proof of Registration and/or Proof of CEUs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</w:t>
            </w:r>
            <w:r w:rsidR="00313B01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Submit speaking proposals to state and national professional conferences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5.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Sign up to volunteer for state or national professional associations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6. Seek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financial assistance from CSA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 xml:space="preserve">7. Share expenses when possible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8. Co-Presentations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Gain updated information from industry, particularly that which pertains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to the areas specifically taught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Share information with the rest of the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team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Share information with advisory board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Share information with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students and alumni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5. Share information with institutional leadership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6.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Maintain CEUs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7. Exposure of the program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8. Mentor others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9. Enhance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courses with new knowledge and/or materials gained from the above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 and Evelyn Thomas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7981">
              <w:rPr>
                <w:rFonts w:asciiTheme="minorHAnsi" w:hAnsiTheme="minorHAnsi" w:cstheme="minorHAnsi"/>
                <w:sz w:val="20"/>
                <w:szCs w:val="20"/>
              </w:rPr>
              <w:t xml:space="preserve">  $8000/year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0EA9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3:</w:t>
            </w:r>
            <w:r w:rsidR="003B0B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program will provide assurance that the educational needs of students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are met and that graduates demonstrate at least the AHIMA entry-level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curriculum competencies.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At least 80% of all students will score 70% or higher on their Mock RHIT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exam, or 210/300, or better during their practicum course.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Students complete one RHIT Mock exam during their last semester in the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practicum course, prior to graduation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Students are encouraged to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 xml:space="preserve">purchase and utilize an RHIT exam prep book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Mock exam scores are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calculated in Blackboard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Scores are analyzed to determine the % of students who score higher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than 70%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If equal to or greater than 80% of students score more than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70%, little to no action necessary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If less than 80% of students score more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than 70%, determine weak Domains and address accordingly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4. Ensure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Mock exam is current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</w:p>
        </w:tc>
      </w:tr>
      <w:tr w:rsidR="00683E26" w:rsidTr="00683E26">
        <w:tc>
          <w:tcPr>
            <w:tcW w:w="10790" w:type="dxa"/>
            <w:gridSpan w:val="2"/>
          </w:tcPr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Goal/Action 4:</w:t>
            </w:r>
            <w:r w:rsidR="00F446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F2535" w:rsidRDefault="00BF2535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Description </w:t>
            </w:r>
            <w:r>
              <w:rPr>
                <w:rFonts w:ascii="SegoeUI" w:hAnsi="SegoeUI" w:cs="SegoeUI"/>
                <w:sz w:val="22"/>
              </w:rPr>
              <w:t>The Advisory Committee will assist program faculty and sponsoring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educational institution personnel with the development and revision of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program goals and curriculum, monitoring program needs and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expectations, and ensuring program responsiveness to change.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Measured Target Outcome </w:t>
            </w:r>
            <w:r>
              <w:rPr>
                <w:rFonts w:ascii="SegoeUI" w:hAnsi="SegoeUI" w:cs="SegoeUI"/>
                <w:sz w:val="22"/>
              </w:rPr>
              <w:t>Increase the number of advisory board meetings from one to two per year,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with one being face to face, and the other virtual. See that at least 75% of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advisory board members be tasked with a specific duty that aids the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vitality of the program, on an annual basis.</w:t>
            </w:r>
          </w:p>
          <w:p w:rsidR="00117981" w:rsidRDefault="00117981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Steps to Achieve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Schedule meetings; face to face in the fall, and virtual in the spring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Task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members to aid the program by such things as:-hosting a student for PPE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hosting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 mock interview-create a video to be shared with students in an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HIM course; "guest lecturer"-present on a hot topic at a meeting-invite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another professional to a future meeting-will review 2 courses per year to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ensure that content meets domains-agree to mentor a student-connecting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 student advisory board member with a professional member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3. Members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are asked to report their progress/status/findings at the next meeting, as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applicable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,Bold" w:hAnsi="SegoeUI,Bold" w:cs="SegoeUI,Bold"/>
                <w:b/>
                <w:bCs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Results/Analysis/Actions </w:t>
            </w:r>
          </w:p>
          <w:p w:rsidR="00CD4668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1. Increase breadth and depth of advisory board involvement</w:t>
            </w: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" w:hAnsi="SegoeUI" w:cs="SegoeUI"/>
                <w:sz w:val="22"/>
              </w:rPr>
              <w:t>2. Strengthen</w:t>
            </w:r>
            <w:r w:rsidR="00CD4668">
              <w:rPr>
                <w:rFonts w:ascii="SegoeUI" w:hAnsi="SegoeUI" w:cs="SegoeUI"/>
                <w:sz w:val="22"/>
              </w:rPr>
              <w:t xml:space="preserve"> </w:t>
            </w:r>
            <w:r>
              <w:rPr>
                <w:rFonts w:ascii="SegoeUI" w:hAnsi="SegoeUI" w:cs="SegoeUI"/>
                <w:sz w:val="22"/>
              </w:rPr>
              <w:t>the support of industry as HIM curriculum prepares for new competencies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Person Responsible </w:t>
            </w:r>
            <w:r>
              <w:rPr>
                <w:rFonts w:ascii="SegoeUI" w:hAnsi="SegoeUI" w:cs="SegoeUI"/>
                <w:sz w:val="22"/>
              </w:rPr>
              <w:t>Sandra Brightwell</w:t>
            </w:r>
          </w:p>
          <w:p w:rsidR="00CD4668" w:rsidRDefault="00CD4668" w:rsidP="0057221F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2"/>
              </w:rPr>
            </w:pPr>
          </w:p>
          <w:p w:rsidR="0057221F" w:rsidRDefault="0057221F" w:rsidP="005722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SegoeUI,Bold" w:hAnsi="SegoeUI,Bold" w:cs="SegoeUI,Bold"/>
                <w:b/>
                <w:bCs/>
                <w:sz w:val="22"/>
              </w:rPr>
              <w:t xml:space="preserve">Time Frame </w:t>
            </w:r>
            <w:r>
              <w:rPr>
                <w:rFonts w:ascii="SegoeUI" w:hAnsi="SegoeUI" w:cs="SegoeUI"/>
                <w:sz w:val="22"/>
              </w:rPr>
              <w:t>By June 30, 2019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3E26" w:rsidTr="00683E26">
        <w:trPr>
          <w:trHeight w:val="207"/>
        </w:trPr>
        <w:tc>
          <w:tcPr>
            <w:tcW w:w="736" w:type="dxa"/>
            <w:vMerge w:val="restart"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Cost/Resource Implications: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rPr>
          <w:trHeight w:val="206"/>
        </w:trPr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Timeline for Achievement: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736" w:type="dxa"/>
            <w:vMerge/>
            <w:shd w:val="clear" w:color="auto" w:fill="D9D9D9" w:themeFill="background1" w:themeFillShade="D9"/>
          </w:tcPr>
          <w:p w:rsidR="00683E26" w:rsidRDefault="00683E26" w:rsidP="00683E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54" w:type="dxa"/>
          </w:tcPr>
          <w:p w:rsidR="00683E26" w:rsidRDefault="00683E26" w:rsidP="00110E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Measure of Success:</w:t>
            </w:r>
            <w:r w:rsidR="00956E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D9D9D9" w:themeFill="background1" w:themeFillShade="D9"/>
          </w:tcPr>
          <w:p w:rsid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b/>
                <w:szCs w:val="24"/>
              </w:rPr>
              <w:t>Yearly Updates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:rsidR="00683E26" w:rsidRPr="00683E26" w:rsidRDefault="00683E26" w:rsidP="00683E26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E26">
              <w:rPr>
                <w:rFonts w:asciiTheme="minorHAnsi" w:hAnsiTheme="minorHAnsi" w:cstheme="minorHAnsi"/>
                <w:i/>
                <w:sz w:val="20"/>
                <w:szCs w:val="20"/>
              </w:rPr>
              <w:t>To be completed each December and submitted to appropriate Dean and Academic Program Review Coordinator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one year: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Pr="00683E26" w:rsidRDefault="00683E26" w:rsidP="00EF6F9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Submitted by:         </w:t>
            </w:r>
            <w:r w:rsidR="00EF6F90">
              <w:rPr>
                <w:rFonts w:asciiTheme="minorHAnsi" w:hAnsiTheme="minorHAnsi" w:cstheme="minorHAnsi"/>
                <w:i/>
                <w:sz w:val="20"/>
                <w:szCs w:val="20"/>
              </w:rPr>
              <w:t>Sandra S. Brightwell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                                            Date:</w:t>
            </w:r>
            <w:r w:rsidR="00EF6F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12-13-2018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two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three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  <w:tr w:rsidR="00683E26" w:rsidTr="00683E26">
        <w:tc>
          <w:tcPr>
            <w:tcW w:w="10790" w:type="dxa"/>
            <w:gridSpan w:val="2"/>
            <w:shd w:val="clear" w:color="auto" w:fill="auto"/>
          </w:tcPr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Discuss progress made toward Action Plan goals after four years:</w:t>
            </w: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83E26" w:rsidRDefault="00683E26" w:rsidP="00683E26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Submitted by:                                                                                    Date:</w:t>
            </w:r>
          </w:p>
        </w:tc>
      </w:tr>
    </w:tbl>
    <w:p w:rsidR="007216FC" w:rsidRPr="007216FC" w:rsidRDefault="007216FC" w:rsidP="00057278">
      <w:pPr>
        <w:rPr>
          <w:rFonts w:asciiTheme="minorHAnsi" w:hAnsiTheme="minorHAnsi" w:cstheme="minorHAnsi"/>
          <w:sz w:val="20"/>
          <w:szCs w:val="20"/>
        </w:rPr>
      </w:pPr>
    </w:p>
    <w:sectPr w:rsidR="007216FC" w:rsidRPr="007216FC" w:rsidSect="00683E26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A1" w:rsidRDefault="00CE33A1" w:rsidP="00B16A25">
      <w:pPr>
        <w:spacing w:line="240" w:lineRule="auto"/>
      </w:pPr>
      <w:r>
        <w:separator/>
      </w:r>
    </w:p>
  </w:endnote>
  <w:endnote w:type="continuationSeparator" w:id="0">
    <w:p w:rsidR="00CE33A1" w:rsidRDefault="00CE33A1" w:rsidP="00B16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U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5" w:rsidRPr="00B16A25" w:rsidRDefault="00B16A25" w:rsidP="00B16A25">
    <w:pPr>
      <w:pStyle w:val="Footer"/>
      <w:jc w:val="right"/>
      <w:rPr>
        <w:rFonts w:asciiTheme="minorHAnsi" w:hAnsiTheme="minorHAnsi"/>
        <w:i/>
        <w:sz w:val="18"/>
        <w:szCs w:val="18"/>
      </w:rPr>
    </w:pPr>
    <w:r w:rsidRPr="00B16A25">
      <w:rPr>
        <w:rFonts w:asciiTheme="minorHAnsi" w:hAnsiTheme="minorHAnsi"/>
        <w:i/>
        <w:sz w:val="18"/>
        <w:szCs w:val="18"/>
      </w:rPr>
      <w:t>Form approved by Academic Program Review Committee 12/9/2014</w:t>
    </w:r>
  </w:p>
  <w:p w:rsidR="00B16A25" w:rsidRDefault="00B16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A1" w:rsidRDefault="00CE33A1" w:rsidP="00B16A25">
      <w:pPr>
        <w:spacing w:line="240" w:lineRule="auto"/>
      </w:pPr>
      <w:r>
        <w:separator/>
      </w:r>
    </w:p>
  </w:footnote>
  <w:footnote w:type="continuationSeparator" w:id="0">
    <w:p w:rsidR="00CE33A1" w:rsidRDefault="00CE33A1" w:rsidP="00B16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C"/>
    <w:rsid w:val="00022FFE"/>
    <w:rsid w:val="00052453"/>
    <w:rsid w:val="00057278"/>
    <w:rsid w:val="000A06DC"/>
    <w:rsid w:val="00110EA9"/>
    <w:rsid w:val="00117981"/>
    <w:rsid w:val="001572FD"/>
    <w:rsid w:val="002116DA"/>
    <w:rsid w:val="002A7035"/>
    <w:rsid w:val="002E2B18"/>
    <w:rsid w:val="002E6C40"/>
    <w:rsid w:val="00313B01"/>
    <w:rsid w:val="003B0B63"/>
    <w:rsid w:val="004D49F6"/>
    <w:rsid w:val="0057221F"/>
    <w:rsid w:val="00683E26"/>
    <w:rsid w:val="007216FC"/>
    <w:rsid w:val="00753C1D"/>
    <w:rsid w:val="00764E98"/>
    <w:rsid w:val="007978BC"/>
    <w:rsid w:val="0086064E"/>
    <w:rsid w:val="00956E87"/>
    <w:rsid w:val="009E44AE"/>
    <w:rsid w:val="00A63C23"/>
    <w:rsid w:val="00A80D05"/>
    <w:rsid w:val="00B16A25"/>
    <w:rsid w:val="00B73FEF"/>
    <w:rsid w:val="00BF2535"/>
    <w:rsid w:val="00CA522E"/>
    <w:rsid w:val="00CD4668"/>
    <w:rsid w:val="00CE33A1"/>
    <w:rsid w:val="00D807A0"/>
    <w:rsid w:val="00D92ADC"/>
    <w:rsid w:val="00DE044F"/>
    <w:rsid w:val="00E73806"/>
    <w:rsid w:val="00EF6F90"/>
    <w:rsid w:val="00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25"/>
  </w:style>
  <w:style w:type="paragraph" w:styleId="Footer">
    <w:name w:val="footer"/>
    <w:basedOn w:val="Normal"/>
    <w:link w:val="FooterChar"/>
    <w:uiPriority w:val="99"/>
    <w:unhideWhenUsed/>
    <w:rsid w:val="00B16A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25"/>
  </w:style>
  <w:style w:type="paragraph" w:styleId="BalloonText">
    <w:name w:val="Balloon Text"/>
    <w:basedOn w:val="Normal"/>
    <w:link w:val="BalloonTextChar"/>
    <w:uiPriority w:val="99"/>
    <w:semiHidden/>
    <w:unhideWhenUsed/>
    <w:rsid w:val="000572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7" ma:contentTypeDescription="Create a new document." ma:contentTypeScope="" ma:versionID="4cd7f04cadbe8ca0400195b3d7da32a2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14e9a766acc2991bd27b8bbd14ed4af4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2AD5D-16FF-4ACF-B4E3-3DF5EEB1D7AF}"/>
</file>

<file path=customXml/itemProps2.xml><?xml version="1.0" encoding="utf-8"?>
<ds:datastoreItem xmlns:ds="http://schemas.openxmlformats.org/officeDocument/2006/customXml" ds:itemID="{362F49F8-7213-4A18-9D58-04725FD54213}"/>
</file>

<file path=customXml/itemProps3.xml><?xml version="1.0" encoding="utf-8"?>
<ds:datastoreItem xmlns:ds="http://schemas.openxmlformats.org/officeDocument/2006/customXml" ds:itemID="{CC87CAEC-1A92-4C6D-BA17-80FA984F5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cp:lastPrinted>2017-12-06T22:16:00Z</cp:lastPrinted>
  <dcterms:created xsi:type="dcterms:W3CDTF">2019-01-07T16:04:00Z</dcterms:created>
  <dcterms:modified xsi:type="dcterms:W3CDTF">2019-01-07T16:04:00Z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