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908"/>
      </w:tblGrid>
      <w:tr w:rsidR="009F0A07" w:rsidRPr="009F0A07" w:rsidTr="00FA59D9">
        <w:tc>
          <w:tcPr>
            <w:tcW w:w="10908" w:type="dxa"/>
            <w:shd w:val="clear" w:color="auto" w:fill="auto"/>
          </w:tcPr>
          <w:p w:rsidR="00D96891" w:rsidRDefault="00D96891" w:rsidP="00D96891">
            <w:pPr>
              <w:autoSpaceDE w:val="0"/>
              <w:autoSpaceDN w:val="0"/>
              <w:adjustRightInd w:val="0"/>
              <w:rPr>
                <w:rFonts w:asciiTheme="minorHAnsi" w:hAnsiTheme="minorHAnsi" w:cstheme="minorHAnsi"/>
                <w:b/>
                <w:bCs/>
                <w:sz w:val="20"/>
                <w:szCs w:val="20"/>
              </w:rPr>
            </w:pPr>
            <w:bookmarkStart w:id="0" w:name="_GoBack"/>
            <w:bookmarkEnd w:id="0"/>
            <w:r w:rsidRPr="00C26B06">
              <w:rPr>
                <w:rFonts w:asciiTheme="minorHAnsi" w:hAnsiTheme="minorHAnsi" w:cstheme="minorHAnsi"/>
                <w:b/>
                <w:bCs/>
                <w:sz w:val="20"/>
                <w:szCs w:val="20"/>
              </w:rPr>
              <w:t>Date of Review:</w:t>
            </w:r>
            <w:r>
              <w:rPr>
                <w:rFonts w:asciiTheme="minorHAnsi" w:hAnsiTheme="minorHAnsi" w:cstheme="minorHAnsi"/>
                <w:b/>
                <w:bCs/>
                <w:sz w:val="20"/>
                <w:szCs w:val="20"/>
              </w:rPr>
              <w:t xml:space="preserve">  March 7, 2013</w:t>
            </w:r>
          </w:p>
          <w:p w:rsidR="00D96891" w:rsidRDefault="00D96891" w:rsidP="00D96891">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D96891" w:rsidRDefault="00D96891" w:rsidP="00D96891">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  Shari Eddy                                                                              Position  Academic Advisor &amp; Professor of CPD</w:t>
            </w:r>
          </w:p>
          <w:p w:rsidR="00D96891" w:rsidRDefault="00D96891" w:rsidP="00D96891">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  Bill Demory                                                                            Position  Professor Business Administration &amp; Economics</w:t>
            </w:r>
          </w:p>
          <w:p w:rsidR="00D96891" w:rsidRPr="00F47D4F" w:rsidRDefault="00D96891" w:rsidP="00D96891">
            <w:pPr>
              <w:autoSpaceDE w:val="0"/>
              <w:autoSpaceDN w:val="0"/>
              <w:adjustRightInd w:val="0"/>
              <w:rPr>
                <w:rFonts w:asciiTheme="minorHAnsi" w:hAnsiTheme="minorHAnsi" w:cstheme="minorHAnsi"/>
                <w:b/>
                <w:bCs/>
                <w:sz w:val="20"/>
                <w:szCs w:val="20"/>
              </w:rPr>
            </w:pPr>
            <w:r w:rsidRPr="00F47D4F">
              <w:rPr>
                <w:rFonts w:asciiTheme="minorHAnsi" w:hAnsiTheme="minorHAnsi" w:cstheme="minorHAnsi"/>
                <w:b/>
                <w:bCs/>
                <w:sz w:val="20"/>
                <w:szCs w:val="20"/>
              </w:rPr>
              <w:t xml:space="preserve">Member  Kim Osteen  </w:t>
            </w:r>
            <w:r>
              <w:rPr>
                <w:rFonts w:asciiTheme="minorHAnsi" w:hAnsiTheme="minorHAnsi" w:cstheme="minorHAnsi"/>
                <w:b/>
                <w:bCs/>
                <w:sz w:val="20"/>
                <w:szCs w:val="20"/>
              </w:rPr>
              <w:t xml:space="preserve">                                                                          </w:t>
            </w:r>
            <w:r w:rsidRPr="00F47D4F">
              <w:rPr>
                <w:rFonts w:asciiTheme="minorHAnsi" w:hAnsiTheme="minorHAnsi" w:cstheme="minorHAnsi"/>
                <w:b/>
                <w:bCs/>
                <w:sz w:val="20"/>
                <w:szCs w:val="20"/>
              </w:rPr>
              <w:t>Position  Professor of Choral Studies</w:t>
            </w:r>
          </w:p>
          <w:p w:rsidR="00D96891" w:rsidRPr="00442E37" w:rsidRDefault="00D96891" w:rsidP="00D96891">
            <w:pPr>
              <w:autoSpaceDE w:val="0"/>
              <w:autoSpaceDN w:val="0"/>
              <w:adjustRightInd w:val="0"/>
              <w:rPr>
                <w:rFonts w:asciiTheme="minorHAnsi" w:hAnsiTheme="minorHAnsi" w:cstheme="minorHAnsi"/>
                <w:b/>
                <w:bCs/>
                <w:color w:val="95B3D7" w:themeColor="accent1" w:themeTint="99"/>
                <w:sz w:val="20"/>
                <w:szCs w:val="20"/>
              </w:rPr>
            </w:pPr>
            <w:r>
              <w:rPr>
                <w:rFonts w:asciiTheme="minorHAnsi" w:hAnsiTheme="minorHAnsi" w:cstheme="minorHAnsi"/>
                <w:b/>
                <w:bCs/>
                <w:color w:val="95B3D7" w:themeColor="accent1" w:themeTint="99"/>
                <w:sz w:val="20"/>
                <w:szCs w:val="20"/>
              </w:rPr>
              <w:t xml:space="preserve">Member  Cheryl Boron  (no input)                                                    </w:t>
            </w:r>
            <w:r w:rsidRPr="00442E37">
              <w:rPr>
                <w:rFonts w:asciiTheme="minorHAnsi" w:hAnsiTheme="minorHAnsi" w:cstheme="minorHAnsi"/>
                <w:b/>
                <w:bCs/>
                <w:color w:val="95B3D7" w:themeColor="accent1" w:themeTint="99"/>
                <w:sz w:val="20"/>
                <w:szCs w:val="20"/>
              </w:rPr>
              <w:t xml:space="preserve"> Position  Professor of Sports &amp; Fitness</w:t>
            </w:r>
          </w:p>
          <w:p w:rsidR="009F0A07" w:rsidRPr="009F0A07" w:rsidRDefault="009F0A07" w:rsidP="006E5115">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Mission</w:t>
            </w:r>
          </w:p>
        </w:tc>
      </w:tr>
      <w:tr w:rsidR="009F0A07" w:rsidTr="00FA59D9">
        <w:tc>
          <w:tcPr>
            <w:tcW w:w="10908" w:type="dxa"/>
            <w:shd w:val="clear" w:color="auto" w:fill="auto"/>
          </w:tcPr>
          <w:p w:rsidR="004B6FD9" w:rsidRPr="00161A42" w:rsidRDefault="004B6FD9" w:rsidP="004B6FD9">
            <w:pPr>
              <w:autoSpaceDE w:val="0"/>
              <w:autoSpaceDN w:val="0"/>
              <w:adjustRightInd w:val="0"/>
              <w:rPr>
                <w:rFonts w:asciiTheme="minorHAnsi" w:hAnsiTheme="minorHAnsi" w:cstheme="minorHAnsi"/>
                <w:bCs/>
                <w:sz w:val="20"/>
                <w:szCs w:val="20"/>
              </w:rPr>
            </w:pPr>
            <w:r w:rsidRPr="00161A42">
              <w:rPr>
                <w:rFonts w:asciiTheme="minorHAnsi" w:hAnsiTheme="minorHAnsi" w:cstheme="minorHAnsi"/>
                <w:bCs/>
                <w:sz w:val="20"/>
                <w:szCs w:val="20"/>
              </w:rPr>
              <w:t xml:space="preserve">This </w:t>
            </w:r>
            <w:r>
              <w:rPr>
                <w:rFonts w:asciiTheme="minorHAnsi" w:hAnsiTheme="minorHAnsi" w:cstheme="minorHAnsi"/>
                <w:bCs/>
                <w:sz w:val="20"/>
                <w:szCs w:val="20"/>
              </w:rPr>
              <w:t>self-study is very well done. Mission is clear,</w:t>
            </w:r>
            <w:r w:rsidRPr="00161A42">
              <w:rPr>
                <w:rFonts w:asciiTheme="minorHAnsi" w:hAnsiTheme="minorHAnsi" w:cstheme="minorHAnsi"/>
                <w:bCs/>
                <w:sz w:val="20"/>
                <w:szCs w:val="20"/>
              </w:rPr>
              <w:t xml:space="preserve"> concise</w:t>
            </w:r>
            <w:r>
              <w:rPr>
                <w:rFonts w:asciiTheme="minorHAnsi" w:hAnsiTheme="minorHAnsi" w:cstheme="minorHAnsi"/>
                <w:bCs/>
                <w:sz w:val="20"/>
                <w:szCs w:val="20"/>
              </w:rPr>
              <w:t>, and specific.  The vocabulary is exemplary and program aligns well with College’s Mission.</w:t>
            </w:r>
          </w:p>
          <w:p w:rsidR="00B80854" w:rsidRPr="009F0A07" w:rsidRDefault="00B80854" w:rsidP="00D96891">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Quality</w:t>
            </w:r>
          </w:p>
        </w:tc>
      </w:tr>
      <w:tr w:rsidR="009F0A07" w:rsidTr="00FA59D9">
        <w:tc>
          <w:tcPr>
            <w:tcW w:w="10908" w:type="dxa"/>
          </w:tcPr>
          <w:p w:rsidR="009F0A07" w:rsidRPr="007934DC" w:rsidRDefault="009F0A07" w:rsidP="009F0A07">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Quality of Curriculum:</w:t>
            </w:r>
          </w:p>
          <w:p w:rsidR="0018018B" w:rsidRDefault="00814FB3"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The certificate and degree programs are evaluated annually by AAMA in which it meets/exceeds ex</w:t>
            </w:r>
            <w:r w:rsidR="00CD4C23">
              <w:rPr>
                <w:rFonts w:asciiTheme="minorHAnsi" w:hAnsiTheme="minorHAnsi" w:cstheme="minorHAnsi"/>
                <w:bCs/>
                <w:sz w:val="20"/>
                <w:szCs w:val="20"/>
              </w:rPr>
              <w:t xml:space="preserve">pectations of accreditation. </w:t>
            </w:r>
            <w:r w:rsidR="0018018B">
              <w:rPr>
                <w:rFonts w:asciiTheme="minorHAnsi" w:hAnsiTheme="minorHAnsi" w:cstheme="minorHAnsi"/>
                <w:bCs/>
                <w:sz w:val="20"/>
                <w:szCs w:val="20"/>
              </w:rPr>
              <w:t xml:space="preserve"> Excellent chart comparing curriculum with</w:t>
            </w:r>
            <w:r>
              <w:rPr>
                <w:rFonts w:asciiTheme="minorHAnsi" w:hAnsiTheme="minorHAnsi" w:cstheme="minorHAnsi"/>
                <w:bCs/>
                <w:sz w:val="20"/>
                <w:szCs w:val="20"/>
              </w:rPr>
              <w:t xml:space="preserve"> </w:t>
            </w:r>
            <w:r w:rsidR="00717BC5">
              <w:rPr>
                <w:rFonts w:asciiTheme="minorHAnsi" w:hAnsiTheme="minorHAnsi" w:cstheme="minorHAnsi"/>
                <w:bCs/>
                <w:sz w:val="20"/>
                <w:szCs w:val="20"/>
              </w:rPr>
              <w:t>PimaCC, Yavapai &amp; Phoenix CC certificate programs</w:t>
            </w:r>
            <w:r w:rsidR="0018018B">
              <w:rPr>
                <w:rFonts w:asciiTheme="minorHAnsi" w:hAnsiTheme="minorHAnsi" w:cstheme="minorHAnsi"/>
                <w:bCs/>
                <w:sz w:val="20"/>
                <w:szCs w:val="20"/>
              </w:rPr>
              <w:t xml:space="preserve"> clearly</w:t>
            </w:r>
            <w:r w:rsidR="00717BC5">
              <w:rPr>
                <w:rFonts w:asciiTheme="minorHAnsi" w:hAnsiTheme="minorHAnsi" w:cstheme="minorHAnsi"/>
                <w:bCs/>
                <w:sz w:val="20"/>
                <w:szCs w:val="20"/>
              </w:rPr>
              <w:t xml:space="preserve"> reveal differences. </w:t>
            </w:r>
            <w:r w:rsidR="0018018B">
              <w:rPr>
                <w:rFonts w:asciiTheme="minorHAnsi" w:hAnsiTheme="minorHAnsi" w:cstheme="minorHAnsi"/>
                <w:bCs/>
                <w:sz w:val="20"/>
                <w:szCs w:val="20"/>
              </w:rPr>
              <w:t xml:space="preserve">Important information regarding accreditation indicating that CAC is the only program that is accredited through AAMA which could be made more prominent.  </w:t>
            </w:r>
            <w:r w:rsidR="00717BC5">
              <w:rPr>
                <w:rFonts w:asciiTheme="minorHAnsi" w:hAnsiTheme="minorHAnsi" w:cstheme="minorHAnsi"/>
                <w:bCs/>
                <w:sz w:val="20"/>
                <w:szCs w:val="20"/>
              </w:rPr>
              <w:t xml:space="preserve"> Program technology is current and not in need of additional resources at this time.</w:t>
            </w:r>
            <w:r w:rsidR="00765DCE">
              <w:rPr>
                <w:rFonts w:asciiTheme="minorHAnsi" w:hAnsiTheme="minorHAnsi" w:cstheme="minorHAnsi"/>
                <w:bCs/>
                <w:sz w:val="20"/>
                <w:szCs w:val="20"/>
              </w:rPr>
              <w:t xml:space="preserve">  </w:t>
            </w: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9F0A07" w:rsidTr="00FA59D9">
        <w:tc>
          <w:tcPr>
            <w:tcW w:w="10908" w:type="dxa"/>
          </w:tcPr>
          <w:p w:rsidR="009F0A07" w:rsidRPr="007934DC" w:rsidRDefault="00FA59D9" w:rsidP="009F0A07">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Contribution of Program in</w:t>
            </w:r>
            <w:r w:rsidR="009F0A07" w:rsidRPr="007934DC">
              <w:rPr>
                <w:rFonts w:asciiTheme="minorHAnsi" w:hAnsiTheme="minorHAnsi" w:cstheme="minorHAnsi"/>
                <w:b/>
                <w:bCs/>
                <w:sz w:val="20"/>
                <w:szCs w:val="20"/>
              </w:rPr>
              <w:t xml:space="preserve"> Meeting</w:t>
            </w:r>
            <w:r w:rsidRPr="007934DC">
              <w:rPr>
                <w:rFonts w:asciiTheme="minorHAnsi" w:hAnsiTheme="minorHAnsi" w:cstheme="minorHAnsi"/>
                <w:b/>
                <w:bCs/>
                <w:sz w:val="20"/>
                <w:szCs w:val="20"/>
              </w:rPr>
              <w:t xml:space="preserve"> Institutional </w:t>
            </w:r>
            <w:r w:rsidR="009F0A07" w:rsidRPr="007934DC">
              <w:rPr>
                <w:rFonts w:asciiTheme="minorHAnsi" w:hAnsiTheme="minorHAnsi" w:cstheme="minorHAnsi"/>
                <w:b/>
                <w:bCs/>
                <w:sz w:val="20"/>
                <w:szCs w:val="20"/>
              </w:rPr>
              <w:t>Strategic Goals:</w:t>
            </w:r>
          </w:p>
          <w:p w:rsidR="0018018B" w:rsidRDefault="0018018B"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Clear evidence of alignment with 6 out of 8 strategic goals (two are N/A).  </w:t>
            </w:r>
            <w:r w:rsidR="00B50F47">
              <w:rPr>
                <w:rFonts w:asciiTheme="minorHAnsi" w:hAnsiTheme="minorHAnsi" w:cstheme="minorHAnsi"/>
                <w:bCs/>
                <w:sz w:val="20"/>
                <w:szCs w:val="20"/>
              </w:rPr>
              <w:t>Pro</w:t>
            </w:r>
            <w:r w:rsidR="00717BC5">
              <w:rPr>
                <w:rFonts w:asciiTheme="minorHAnsi" w:hAnsiTheme="minorHAnsi" w:cstheme="minorHAnsi"/>
                <w:bCs/>
                <w:sz w:val="20"/>
                <w:szCs w:val="20"/>
              </w:rPr>
              <w:t>grams align/meet institutional goals including accessibility online, adapting new technologies to increase space and hands-on training; more accurate and efficient inventory process and modification of program to make students more employable.</w:t>
            </w:r>
            <w:r w:rsidR="00B50F47">
              <w:rPr>
                <w:rFonts w:asciiTheme="minorHAnsi" w:hAnsiTheme="minorHAnsi" w:cstheme="minorHAnsi"/>
                <w:bCs/>
                <w:sz w:val="20"/>
                <w:szCs w:val="20"/>
              </w:rPr>
              <w:t xml:space="preserve">  </w:t>
            </w:r>
            <w:r>
              <w:rPr>
                <w:rFonts w:asciiTheme="minorHAnsi" w:hAnsiTheme="minorHAnsi" w:cstheme="minorHAnsi"/>
                <w:bCs/>
                <w:sz w:val="20"/>
                <w:szCs w:val="20"/>
              </w:rPr>
              <w:t>This alignment demonstrates responsiveness to needs of students and community.</w:t>
            </w:r>
          </w:p>
          <w:p w:rsidR="0018018B" w:rsidRPr="009F0A07" w:rsidRDefault="0018018B"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FA59D9" w:rsidRPr="007934DC" w:rsidRDefault="00FA59D9" w:rsidP="009F0A07">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Success of Program in Engaging in Continuous Quality Improvement:</w:t>
            </w:r>
          </w:p>
          <w:p w:rsidR="00FA59D9" w:rsidRDefault="00717BC5"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Program supervisor(s) receive regular/continuous feedback from practicum site supervisors.  </w:t>
            </w:r>
            <w:r w:rsidR="00312B62">
              <w:rPr>
                <w:rFonts w:asciiTheme="minorHAnsi" w:hAnsiTheme="minorHAnsi" w:cstheme="minorHAnsi"/>
                <w:bCs/>
                <w:sz w:val="20"/>
                <w:szCs w:val="20"/>
              </w:rPr>
              <w:t>Employer’s</w:t>
            </w:r>
            <w:r>
              <w:rPr>
                <w:rFonts w:asciiTheme="minorHAnsi" w:hAnsiTheme="minorHAnsi" w:cstheme="minorHAnsi"/>
                <w:bCs/>
                <w:sz w:val="20"/>
                <w:szCs w:val="20"/>
              </w:rPr>
              <w:t xml:space="preserve"> surveys are </w:t>
            </w:r>
            <w:r w:rsidR="00312B62">
              <w:rPr>
                <w:rFonts w:asciiTheme="minorHAnsi" w:hAnsiTheme="minorHAnsi" w:cstheme="minorHAnsi"/>
                <w:bCs/>
                <w:sz w:val="20"/>
                <w:szCs w:val="20"/>
              </w:rPr>
              <w:t>collected when student’s are hired.  Accreditation agencies provide program feedback annually which has impacted the recent program realignments/offerings.</w:t>
            </w:r>
            <w:r w:rsidR="00B50F47">
              <w:rPr>
                <w:rFonts w:asciiTheme="minorHAnsi" w:hAnsiTheme="minorHAnsi" w:cstheme="minorHAnsi"/>
                <w:bCs/>
                <w:sz w:val="20"/>
                <w:szCs w:val="20"/>
              </w:rPr>
              <w:t xml:space="preserve">  Very clear and objective data regarding CQI success.</w:t>
            </w:r>
          </w:p>
          <w:p w:rsidR="00FA59D9" w:rsidRDefault="00FA59D9" w:rsidP="009F0A07">
            <w:pPr>
              <w:autoSpaceDE w:val="0"/>
              <w:autoSpaceDN w:val="0"/>
              <w:adjustRightInd w:val="0"/>
              <w:rPr>
                <w:rFonts w:asciiTheme="minorHAnsi" w:hAnsiTheme="minorHAnsi" w:cstheme="minorHAnsi"/>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rsidTr="00FA59D9">
        <w:tc>
          <w:tcPr>
            <w:tcW w:w="10908" w:type="dxa"/>
          </w:tcPr>
          <w:p w:rsidR="00FA59D9" w:rsidRPr="007934DC" w:rsidRDefault="00FA59D9" w:rsidP="00FA59D9">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Success of Students in Achieving Appropriate Learning Outcomes:</w:t>
            </w:r>
          </w:p>
          <w:p w:rsidR="008E45F4" w:rsidRDefault="00312B62" w:rsidP="008E45F4">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Since Gen</w:t>
            </w:r>
            <w:r w:rsidR="00E921EF">
              <w:rPr>
                <w:rFonts w:asciiTheme="minorHAnsi" w:hAnsiTheme="minorHAnsi" w:cstheme="minorHAnsi"/>
                <w:bCs/>
                <w:sz w:val="20"/>
                <w:szCs w:val="20"/>
              </w:rPr>
              <w:t>eral</w:t>
            </w:r>
            <w:r>
              <w:rPr>
                <w:rFonts w:asciiTheme="minorHAnsi" w:hAnsiTheme="minorHAnsi" w:cstheme="minorHAnsi"/>
                <w:bCs/>
                <w:sz w:val="20"/>
                <w:szCs w:val="20"/>
              </w:rPr>
              <w:t xml:space="preserve"> Education Outcomes have only recently been incorporated into our course</w:t>
            </w:r>
            <w:r w:rsidR="008E45F4">
              <w:rPr>
                <w:rFonts w:asciiTheme="minorHAnsi" w:hAnsiTheme="minorHAnsi" w:cstheme="minorHAnsi"/>
                <w:bCs/>
                <w:sz w:val="20"/>
                <w:szCs w:val="20"/>
              </w:rPr>
              <w:t xml:space="preserve"> delivery system and</w:t>
            </w:r>
            <w:r w:rsidR="00E921EF">
              <w:rPr>
                <w:rFonts w:asciiTheme="minorHAnsi" w:hAnsiTheme="minorHAnsi" w:cstheme="minorHAnsi"/>
                <w:bCs/>
                <w:sz w:val="20"/>
                <w:szCs w:val="20"/>
              </w:rPr>
              <w:t xml:space="preserve"> GEO’s too are already in flux, there is no data.  However, of practical application toward demonstrating achievement of learning, there are a</w:t>
            </w:r>
            <w:r>
              <w:rPr>
                <w:rFonts w:asciiTheme="minorHAnsi" w:hAnsiTheme="minorHAnsi" w:cstheme="minorHAnsi"/>
                <w:bCs/>
                <w:sz w:val="20"/>
                <w:szCs w:val="20"/>
              </w:rPr>
              <w:t xml:space="preserve"> total of 117 graduates (59 AAS; 58 certificates) over past three years who have in feedback from AAMA and practicum site supervisors have met or exceeded proficiencies required.</w:t>
            </w:r>
            <w:r w:rsidR="008E45F4">
              <w:rPr>
                <w:rFonts w:asciiTheme="minorHAnsi" w:hAnsiTheme="minorHAnsi" w:cstheme="minorHAnsi"/>
                <w:bCs/>
                <w:sz w:val="20"/>
                <w:szCs w:val="20"/>
              </w:rPr>
              <w:t xml:space="preserve">  Excellent use of surveys to determine success in meeting degree learning outcomes.</w:t>
            </w:r>
          </w:p>
          <w:p w:rsidR="008E45F4" w:rsidRDefault="008E45F4" w:rsidP="00312B62">
            <w:pPr>
              <w:autoSpaceDE w:val="0"/>
              <w:autoSpaceDN w:val="0"/>
              <w:adjustRightInd w:val="0"/>
              <w:rPr>
                <w:rFonts w:asciiTheme="minorHAnsi" w:hAnsiTheme="minorHAnsi" w:cstheme="minorHAnsi"/>
                <w:bCs/>
                <w:sz w:val="20"/>
                <w:szCs w:val="20"/>
              </w:rPr>
            </w:pPr>
          </w:p>
          <w:p w:rsidR="008E45F4" w:rsidRPr="00FA59D9" w:rsidRDefault="008E45F4" w:rsidP="00312B62">
            <w:pPr>
              <w:autoSpaceDE w:val="0"/>
              <w:autoSpaceDN w:val="0"/>
              <w:adjustRightInd w:val="0"/>
              <w:rPr>
                <w:rFonts w:asciiTheme="minorHAnsi" w:hAnsiTheme="minorHAnsi" w:cstheme="minorHAnsi"/>
                <w:bCs/>
                <w:sz w:val="20"/>
                <w:szCs w:val="20"/>
              </w:rPr>
            </w:pPr>
          </w:p>
        </w:tc>
      </w:tr>
      <w:tr w:rsidR="009F0A07" w:rsidTr="00FA59D9">
        <w:tc>
          <w:tcPr>
            <w:tcW w:w="10908" w:type="dxa"/>
          </w:tcPr>
          <w:p w:rsidR="00FA59D9" w:rsidRPr="007934DC" w:rsidRDefault="00FA59D9" w:rsidP="00FA59D9">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Success of Students in Completing CAC Program:</w:t>
            </w:r>
          </w:p>
          <w:p w:rsidR="00312B62" w:rsidRDefault="00312B62" w:rsidP="00312B62">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Approximately 40% offered jobs when completed with practicum; 20% return to complete Med Asst AAS degree; 3% continue to the Nursing program.  Current Med Asst AAS degree graduates secure employment within six months.</w:t>
            </w:r>
          </w:p>
          <w:p w:rsidR="008E45F4" w:rsidRPr="009F0A07" w:rsidRDefault="008E45F4" w:rsidP="00CD4C23">
            <w:pPr>
              <w:autoSpaceDE w:val="0"/>
              <w:autoSpaceDN w:val="0"/>
              <w:adjustRightInd w:val="0"/>
              <w:rPr>
                <w:rFonts w:asciiTheme="minorHAnsi" w:hAnsiTheme="minorHAnsi" w:cstheme="minorHAnsi"/>
                <w:b/>
                <w:bCs/>
                <w:sz w:val="20"/>
                <w:szCs w:val="20"/>
              </w:rPr>
            </w:pPr>
          </w:p>
        </w:tc>
      </w:tr>
      <w:tr w:rsidR="009F0A07" w:rsidTr="00FA59D9">
        <w:tc>
          <w:tcPr>
            <w:tcW w:w="10908" w:type="dxa"/>
          </w:tcPr>
          <w:p w:rsidR="00FA59D9" w:rsidRPr="007934DC" w:rsidRDefault="00FA59D9" w:rsidP="00FA59D9">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Success of Students Upon Departure from CAC:</w:t>
            </w:r>
          </w:p>
          <w:p w:rsidR="00FA59D9" w:rsidRDefault="00312B62" w:rsidP="009F0A07">
            <w:pPr>
              <w:autoSpaceDE w:val="0"/>
              <w:autoSpaceDN w:val="0"/>
              <w:adjustRightInd w:val="0"/>
              <w:rPr>
                <w:rFonts w:asciiTheme="minorHAnsi" w:hAnsiTheme="minorHAnsi" w:cstheme="minorHAnsi"/>
                <w:bCs/>
                <w:sz w:val="20"/>
                <w:szCs w:val="20"/>
              </w:rPr>
            </w:pPr>
            <w:r w:rsidRPr="00E921EF">
              <w:rPr>
                <w:rFonts w:asciiTheme="minorHAnsi" w:hAnsiTheme="minorHAnsi" w:cstheme="minorHAnsi"/>
                <w:bCs/>
                <w:sz w:val="20"/>
                <w:szCs w:val="20"/>
              </w:rPr>
              <w:t>Other than the statistics listed above, there is no data</w:t>
            </w:r>
            <w:r w:rsidR="00E921EF" w:rsidRPr="00E921EF">
              <w:rPr>
                <w:rFonts w:asciiTheme="minorHAnsi" w:hAnsiTheme="minorHAnsi" w:cstheme="minorHAnsi"/>
                <w:bCs/>
                <w:sz w:val="20"/>
                <w:szCs w:val="20"/>
              </w:rPr>
              <w:t xml:space="preserve"> collected/available to describe level of success at transfer institutions or whether completers continued their studies at other institutions.</w:t>
            </w:r>
            <w:r w:rsidR="008E45F4">
              <w:rPr>
                <w:rFonts w:asciiTheme="minorHAnsi" w:hAnsiTheme="minorHAnsi" w:cstheme="minorHAnsi"/>
                <w:bCs/>
                <w:sz w:val="20"/>
                <w:szCs w:val="20"/>
              </w:rPr>
              <w:t xml:space="preserve">  Important to note degree/certificate programs not designed for transfer but for entry-level employment.</w:t>
            </w:r>
          </w:p>
          <w:p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rsidRPr="009E45D5" w:rsidTr="00FA59D9">
        <w:tc>
          <w:tcPr>
            <w:tcW w:w="10908" w:type="dxa"/>
            <w:shd w:val="clear" w:color="auto" w:fill="D9D9D9" w:themeFill="background1" w:themeFillShade="D9"/>
          </w:tcPr>
          <w:p w:rsidR="009F0A07" w:rsidRPr="009E45D5" w:rsidRDefault="00FA59D9" w:rsidP="009F0A07">
            <w:pPr>
              <w:autoSpaceDE w:val="0"/>
              <w:autoSpaceDN w:val="0"/>
              <w:adjustRightInd w:val="0"/>
              <w:rPr>
                <w:rFonts w:asciiTheme="minorHAnsi" w:hAnsiTheme="minorHAnsi" w:cstheme="minorHAnsi"/>
                <w:b/>
                <w:bCs/>
                <w:sz w:val="20"/>
                <w:szCs w:val="20"/>
              </w:rPr>
            </w:pPr>
            <w:r w:rsidRPr="009E45D5">
              <w:rPr>
                <w:rFonts w:asciiTheme="minorHAnsi" w:hAnsiTheme="minorHAnsi" w:cstheme="minorHAnsi"/>
                <w:b/>
                <w:bCs/>
                <w:sz w:val="20"/>
                <w:szCs w:val="20"/>
              </w:rPr>
              <w:t>Evaluation of Program Viability</w:t>
            </w:r>
          </w:p>
        </w:tc>
      </w:tr>
      <w:tr w:rsidR="009F0A07" w:rsidTr="00FA59D9">
        <w:tc>
          <w:tcPr>
            <w:tcW w:w="10908" w:type="dxa"/>
          </w:tcPr>
          <w:p w:rsidR="009F0A07" w:rsidRPr="007934DC" w:rsidRDefault="00FA59D9" w:rsidP="009F0A07">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Evaluation of Enrollment Trends:</w:t>
            </w:r>
          </w:p>
          <w:p w:rsidR="008E45F4" w:rsidRDefault="008E45F4" w:rsidP="008E45F4">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Clear and objective data on growth of the program since 2008.  T</w:t>
            </w:r>
            <w:r w:rsidR="00E921EF">
              <w:rPr>
                <w:rFonts w:asciiTheme="minorHAnsi" w:hAnsiTheme="minorHAnsi" w:cstheme="minorHAnsi"/>
                <w:bCs/>
                <w:sz w:val="20"/>
                <w:szCs w:val="20"/>
              </w:rPr>
              <w:t>he program is being pro-active to stakeholder need</w:t>
            </w:r>
            <w:r w:rsidR="006E5115">
              <w:rPr>
                <w:rFonts w:asciiTheme="minorHAnsi" w:hAnsiTheme="minorHAnsi" w:cstheme="minorHAnsi"/>
                <w:bCs/>
                <w:sz w:val="20"/>
                <w:szCs w:val="20"/>
              </w:rPr>
              <w:t>s and is incorporating prerequisites and assessment to help ensure student success in their chosen field while also being careful to not flood the market.</w:t>
            </w:r>
            <w:r w:rsidR="00344A72">
              <w:rPr>
                <w:rFonts w:asciiTheme="minorHAnsi" w:hAnsiTheme="minorHAnsi" w:cstheme="minorHAnsi"/>
                <w:bCs/>
                <w:sz w:val="20"/>
                <w:szCs w:val="20"/>
              </w:rPr>
              <w:t xml:space="preserve"> </w:t>
            </w:r>
          </w:p>
          <w:p w:rsidR="008E45F4" w:rsidRPr="00FA59D9" w:rsidRDefault="008E45F4"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FA59D9" w:rsidRPr="007934DC" w:rsidRDefault="00FA59D9" w:rsidP="009F0A07">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Evaluation of Need for Program Based on Economic</w:t>
            </w:r>
            <w:r w:rsidR="008A7239" w:rsidRPr="007934DC">
              <w:rPr>
                <w:rFonts w:asciiTheme="minorHAnsi" w:hAnsiTheme="minorHAnsi" w:cstheme="minorHAnsi"/>
                <w:b/>
                <w:bCs/>
                <w:sz w:val="20"/>
                <w:szCs w:val="20"/>
              </w:rPr>
              <w:t>/Job Market</w:t>
            </w:r>
            <w:r w:rsidRPr="007934DC">
              <w:rPr>
                <w:rFonts w:asciiTheme="minorHAnsi" w:hAnsiTheme="minorHAnsi" w:cstheme="minorHAnsi"/>
                <w:b/>
                <w:bCs/>
                <w:sz w:val="20"/>
                <w:szCs w:val="20"/>
              </w:rPr>
              <w:t xml:space="preserve"> Conditions or Transfer Opportunities:</w:t>
            </w:r>
          </w:p>
          <w:p w:rsidR="009E45D5" w:rsidRDefault="006E5115" w:rsidP="009E45D5">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Re-design of Med Asst AAS degree, admission to health career programs and sundown of</w:t>
            </w:r>
            <w:r w:rsidR="009E45D5">
              <w:rPr>
                <w:rFonts w:asciiTheme="minorHAnsi" w:hAnsiTheme="minorHAnsi" w:cstheme="minorHAnsi"/>
                <w:bCs/>
                <w:sz w:val="20"/>
                <w:szCs w:val="20"/>
              </w:rPr>
              <w:t xml:space="preserve"> some outdated </w:t>
            </w:r>
            <w:r>
              <w:rPr>
                <w:rFonts w:asciiTheme="minorHAnsi" w:hAnsiTheme="minorHAnsi" w:cstheme="minorHAnsi"/>
                <w:bCs/>
                <w:sz w:val="20"/>
                <w:szCs w:val="20"/>
              </w:rPr>
              <w:t xml:space="preserve">certificate programs are </w:t>
            </w:r>
            <w:r>
              <w:rPr>
                <w:rFonts w:asciiTheme="minorHAnsi" w:hAnsiTheme="minorHAnsi" w:cstheme="minorHAnsi"/>
                <w:bCs/>
                <w:sz w:val="20"/>
                <w:szCs w:val="20"/>
              </w:rPr>
              <w:lastRenderedPageBreak/>
              <w:t xml:space="preserve">in response to upcoming demands in the job market and demonstrate ability to respond and adapt program to meet upcoming changes. </w:t>
            </w:r>
            <w:r w:rsidR="009E45D5">
              <w:rPr>
                <w:rFonts w:asciiTheme="minorHAnsi" w:hAnsiTheme="minorHAnsi" w:cstheme="minorHAnsi"/>
                <w:bCs/>
                <w:sz w:val="20"/>
                <w:szCs w:val="20"/>
              </w:rPr>
              <w:t xml:space="preserve"> Clear statements regarding job markets in Pinal and Arizona.</w:t>
            </w:r>
            <w:r w:rsidR="00765DCE">
              <w:rPr>
                <w:rFonts w:asciiTheme="minorHAnsi" w:hAnsiTheme="minorHAnsi" w:cstheme="minorHAnsi"/>
                <w:bCs/>
                <w:sz w:val="20"/>
                <w:szCs w:val="20"/>
              </w:rPr>
              <w:t xml:space="preserve">  </w:t>
            </w:r>
          </w:p>
          <w:p w:rsidR="00FA59D9" w:rsidRDefault="00FA59D9" w:rsidP="009F0A07">
            <w:pPr>
              <w:autoSpaceDE w:val="0"/>
              <w:autoSpaceDN w:val="0"/>
              <w:adjustRightInd w:val="0"/>
              <w:rPr>
                <w:rFonts w:asciiTheme="minorHAnsi" w:hAnsiTheme="minorHAnsi" w:cstheme="minorHAnsi"/>
                <w:bCs/>
                <w:sz w:val="20"/>
                <w:szCs w:val="20"/>
              </w:rPr>
            </w:pPr>
          </w:p>
        </w:tc>
      </w:tr>
      <w:tr w:rsidR="008A7239" w:rsidTr="00FA59D9">
        <w:tc>
          <w:tcPr>
            <w:tcW w:w="10908" w:type="dxa"/>
          </w:tcPr>
          <w:p w:rsidR="008A7239" w:rsidRPr="007934DC" w:rsidRDefault="008A7239" w:rsidP="009F0A07">
            <w:p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lastRenderedPageBreak/>
              <w:t>Evaluation of Program Viability Based on Adequacy of Resources:</w:t>
            </w:r>
          </w:p>
          <w:p w:rsidR="00B80854" w:rsidRDefault="00190335" w:rsidP="009F0A07">
            <w:pPr>
              <w:autoSpaceDE w:val="0"/>
              <w:autoSpaceDN w:val="0"/>
              <w:adjustRightInd w:val="0"/>
              <w:rPr>
                <w:rFonts w:asciiTheme="minorHAnsi" w:hAnsiTheme="minorHAnsi" w:cstheme="minorHAnsi"/>
                <w:bCs/>
                <w:sz w:val="20"/>
                <w:szCs w:val="20"/>
              </w:rPr>
            </w:pPr>
            <w:r w:rsidRPr="00190335">
              <w:rPr>
                <w:rFonts w:asciiTheme="minorHAnsi" w:hAnsiTheme="minorHAnsi" w:cstheme="minorHAnsi"/>
                <w:bCs/>
                <w:sz w:val="20"/>
                <w:szCs w:val="20"/>
              </w:rPr>
              <w:t>Good evidence of well supplied program with necessary resources and supplies available</w:t>
            </w:r>
            <w:r>
              <w:rPr>
                <w:rFonts w:asciiTheme="minorHAnsi" w:hAnsiTheme="minorHAnsi" w:cstheme="minorHAnsi"/>
                <w:bCs/>
                <w:sz w:val="20"/>
                <w:szCs w:val="20"/>
              </w:rPr>
              <w:t>. U</w:t>
            </w:r>
            <w:r w:rsidR="006E5115">
              <w:rPr>
                <w:rFonts w:asciiTheme="minorHAnsi" w:hAnsiTheme="minorHAnsi" w:cstheme="minorHAnsi"/>
                <w:bCs/>
                <w:sz w:val="20"/>
                <w:szCs w:val="20"/>
              </w:rPr>
              <w:t xml:space="preserve">nable to </w:t>
            </w:r>
            <w:r>
              <w:rPr>
                <w:rFonts w:asciiTheme="minorHAnsi" w:hAnsiTheme="minorHAnsi" w:cstheme="minorHAnsi"/>
                <w:bCs/>
                <w:sz w:val="20"/>
                <w:szCs w:val="20"/>
              </w:rPr>
              <w:t xml:space="preserve">clearly </w:t>
            </w:r>
            <w:r w:rsidR="006E5115">
              <w:rPr>
                <w:rFonts w:asciiTheme="minorHAnsi" w:hAnsiTheme="minorHAnsi" w:cstheme="minorHAnsi"/>
                <w:bCs/>
                <w:sz w:val="20"/>
                <w:szCs w:val="20"/>
              </w:rPr>
              <w:t xml:space="preserve">assess with previous calculations and </w:t>
            </w:r>
            <w:r>
              <w:rPr>
                <w:rFonts w:asciiTheme="minorHAnsi" w:hAnsiTheme="minorHAnsi" w:cstheme="minorHAnsi"/>
                <w:bCs/>
                <w:sz w:val="20"/>
                <w:szCs w:val="20"/>
              </w:rPr>
              <w:t xml:space="preserve">recent </w:t>
            </w:r>
            <w:r w:rsidR="006E5115">
              <w:rPr>
                <w:rFonts w:asciiTheme="minorHAnsi" w:hAnsiTheme="minorHAnsi" w:cstheme="minorHAnsi"/>
                <w:bCs/>
                <w:sz w:val="20"/>
                <w:szCs w:val="20"/>
              </w:rPr>
              <w:t>changes in program delivery.  MA program is short 1 FT credentialed MA’s according to AAMA accreditation standards.</w:t>
            </w:r>
          </w:p>
          <w:p w:rsidR="008A7239" w:rsidRDefault="008A7239" w:rsidP="00190335">
            <w:pPr>
              <w:autoSpaceDE w:val="0"/>
              <w:autoSpaceDN w:val="0"/>
              <w:adjustRightInd w:val="0"/>
              <w:rPr>
                <w:rFonts w:asciiTheme="minorHAnsi" w:hAnsiTheme="minorHAnsi" w:cstheme="minorHAnsi"/>
                <w:bCs/>
                <w:sz w:val="20"/>
                <w:szCs w:val="20"/>
              </w:rPr>
            </w:pPr>
          </w:p>
        </w:tc>
      </w:tr>
    </w:tbl>
    <w:p w:rsidR="00B80854" w:rsidRPr="009F0A07" w:rsidRDefault="00B80854"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sidRPr="00926684">
              <w:rPr>
                <w:rFonts w:asciiTheme="minorHAnsi" w:hAnsiTheme="minorHAnsi" w:cstheme="minorHAnsi"/>
                <w:b/>
                <w:bCs/>
                <w:sz w:val="20"/>
                <w:szCs w:val="20"/>
              </w:rPr>
              <w:t>Panel Reviewers Recommendation for Program:</w:t>
            </w:r>
          </w:p>
        </w:tc>
      </w:tr>
      <w:tr w:rsidR="00926684" w:rsidTr="00926684">
        <w:tc>
          <w:tcPr>
            <w:tcW w:w="11016" w:type="dxa"/>
          </w:tcPr>
          <w:p w:rsidR="00FC230A" w:rsidRPr="00190335" w:rsidRDefault="00FC230A" w:rsidP="00190335">
            <w:pPr>
              <w:pStyle w:val="ListParagraph"/>
              <w:autoSpaceDE w:val="0"/>
              <w:autoSpaceDN w:val="0"/>
              <w:adjustRightInd w:val="0"/>
              <w:rPr>
                <w:rFonts w:asciiTheme="minorHAnsi" w:hAnsiTheme="minorHAnsi" w:cstheme="minorHAnsi"/>
                <w:b/>
                <w:bCs/>
                <w:szCs w:val="24"/>
              </w:rPr>
            </w:pPr>
            <w:r w:rsidRPr="00190335">
              <w:rPr>
                <w:rFonts w:asciiTheme="minorHAnsi" w:hAnsiTheme="minorHAnsi" w:cstheme="minorHAnsi"/>
                <w:b/>
                <w:bCs/>
                <w:szCs w:val="24"/>
              </w:rPr>
              <w:t>Continue a program of exceptional quality.</w:t>
            </w:r>
          </w:p>
          <w:p w:rsidR="00FC230A" w:rsidRDefault="00FC230A" w:rsidP="00D36DB6">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FC230A" w:rsidRDefault="00926684" w:rsidP="00FC230A">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The reviewers recommend the prog</w:t>
            </w:r>
            <w:r w:rsidR="00C26B06">
              <w:rPr>
                <w:rFonts w:asciiTheme="minorHAnsi" w:hAnsiTheme="minorHAnsi" w:cstheme="minorHAnsi"/>
                <w:bCs/>
                <w:sz w:val="20"/>
                <w:szCs w:val="20"/>
              </w:rPr>
              <w:t xml:space="preserve">ram address the following </w:t>
            </w:r>
            <w:r w:rsidR="00C26B06" w:rsidRPr="00C26B06">
              <w:rPr>
                <w:rFonts w:asciiTheme="minorHAnsi" w:hAnsiTheme="minorHAnsi" w:cstheme="minorHAnsi"/>
                <w:b/>
                <w:bCs/>
                <w:sz w:val="20"/>
                <w:szCs w:val="20"/>
              </w:rPr>
              <w:t>Strengths</w:t>
            </w:r>
            <w:r w:rsidRPr="00926684">
              <w:rPr>
                <w:rFonts w:asciiTheme="minorHAnsi" w:hAnsiTheme="minorHAnsi" w:cstheme="minorHAnsi"/>
                <w:bCs/>
                <w:sz w:val="20"/>
                <w:szCs w:val="20"/>
              </w:rPr>
              <w:t>/weaknesses in their Academic Program Review Action Plan:</w:t>
            </w:r>
          </w:p>
          <w:p w:rsidR="00B80854" w:rsidRDefault="00B80854" w:rsidP="009F0A07">
            <w:pPr>
              <w:autoSpaceDE w:val="0"/>
              <w:autoSpaceDN w:val="0"/>
              <w:adjustRightInd w:val="0"/>
              <w:rPr>
                <w:rFonts w:asciiTheme="minorHAnsi" w:hAnsiTheme="minorHAnsi" w:cstheme="minorHAnsi"/>
                <w:b/>
                <w:bCs/>
                <w:szCs w:val="24"/>
              </w:rPr>
            </w:pPr>
          </w:p>
          <w:p w:rsidR="00D96891" w:rsidRPr="003550F6" w:rsidRDefault="00D96891" w:rsidP="00D96891">
            <w:pPr>
              <w:autoSpaceDE w:val="0"/>
              <w:autoSpaceDN w:val="0"/>
              <w:adjustRightInd w:val="0"/>
              <w:rPr>
                <w:rFonts w:asciiTheme="minorHAnsi" w:hAnsiTheme="minorHAnsi" w:cstheme="minorHAnsi"/>
                <w:bCs/>
                <w:sz w:val="20"/>
                <w:szCs w:val="20"/>
              </w:rPr>
            </w:pPr>
            <w:r w:rsidRPr="003550F6">
              <w:rPr>
                <w:rFonts w:asciiTheme="minorHAnsi" w:hAnsiTheme="minorHAnsi" w:cstheme="minorHAnsi"/>
                <w:bCs/>
                <w:sz w:val="20"/>
                <w:szCs w:val="20"/>
              </w:rPr>
              <w:t>Excellent execution in many areas.  The following are suggestions to expand/provide objective, comprehensive data for next program evaluation and CQI.</w:t>
            </w:r>
            <w:r w:rsidR="003373CF" w:rsidRPr="003550F6">
              <w:rPr>
                <w:rFonts w:asciiTheme="minorHAnsi" w:hAnsiTheme="minorHAnsi" w:cstheme="minorHAnsi"/>
                <w:bCs/>
                <w:sz w:val="20"/>
                <w:szCs w:val="20"/>
              </w:rPr>
              <w:t xml:space="preserve"> </w:t>
            </w:r>
            <w:r w:rsidR="003373CF" w:rsidRPr="003550F6">
              <w:rPr>
                <w:rFonts w:asciiTheme="minorHAnsi" w:hAnsiTheme="minorHAnsi" w:cstheme="minorHAnsi"/>
                <w:b/>
                <w:bCs/>
                <w:color w:val="0070C0"/>
                <w:sz w:val="20"/>
                <w:szCs w:val="20"/>
              </w:rPr>
              <w:br/>
            </w:r>
          </w:p>
          <w:p w:rsidR="00D96891" w:rsidRPr="00D96891" w:rsidRDefault="00D96891" w:rsidP="00D96891">
            <w:pPr>
              <w:pStyle w:val="ListParagraph"/>
              <w:numPr>
                <w:ilvl w:val="0"/>
                <w:numId w:val="4"/>
              </w:numPr>
              <w:autoSpaceDE w:val="0"/>
              <w:autoSpaceDN w:val="0"/>
              <w:adjustRightInd w:val="0"/>
              <w:rPr>
                <w:rFonts w:asciiTheme="minorHAnsi" w:hAnsiTheme="minorHAnsi" w:cstheme="minorHAnsi"/>
                <w:bCs/>
                <w:color w:val="FF0000"/>
                <w:sz w:val="20"/>
                <w:szCs w:val="20"/>
              </w:rPr>
            </w:pPr>
            <w:r w:rsidRPr="00D96891">
              <w:rPr>
                <w:rFonts w:asciiTheme="minorHAnsi" w:hAnsiTheme="minorHAnsi" w:cstheme="minorHAnsi"/>
                <w:b/>
                <w:bCs/>
                <w:sz w:val="20"/>
                <w:szCs w:val="20"/>
              </w:rPr>
              <w:t xml:space="preserve">Evaluation of Program Mission: </w:t>
            </w:r>
            <w:r w:rsidRPr="00D96891">
              <w:rPr>
                <w:rFonts w:asciiTheme="minorHAnsi" w:hAnsiTheme="minorHAnsi" w:cstheme="minorHAnsi"/>
                <w:bCs/>
                <w:sz w:val="20"/>
                <w:szCs w:val="20"/>
              </w:rPr>
              <w:t xml:space="preserve">Outcomes specified by preparedness for employment and licensure exams indicated with “AAMA” and “AMT” </w:t>
            </w:r>
            <w:r w:rsidR="00CD4C23">
              <w:rPr>
                <w:rFonts w:asciiTheme="minorHAnsi" w:hAnsiTheme="minorHAnsi" w:cstheme="minorHAnsi"/>
                <w:bCs/>
                <w:sz w:val="20"/>
                <w:szCs w:val="20"/>
              </w:rPr>
              <w:t>should be</w:t>
            </w:r>
            <w:r w:rsidRPr="00D96891">
              <w:rPr>
                <w:rFonts w:asciiTheme="minorHAnsi" w:hAnsiTheme="minorHAnsi" w:cstheme="minorHAnsi"/>
                <w:bCs/>
                <w:sz w:val="20"/>
                <w:szCs w:val="20"/>
              </w:rPr>
              <w:t xml:space="preserve"> spelled out for</w:t>
            </w:r>
            <w:r w:rsidR="00CD4C23">
              <w:rPr>
                <w:rFonts w:asciiTheme="minorHAnsi" w:hAnsiTheme="minorHAnsi" w:cstheme="minorHAnsi"/>
                <w:bCs/>
                <w:sz w:val="20"/>
                <w:szCs w:val="20"/>
              </w:rPr>
              <w:t xml:space="preserve"> understanding</w:t>
            </w:r>
            <w:r w:rsidRPr="00D96891">
              <w:rPr>
                <w:rFonts w:asciiTheme="minorHAnsi" w:hAnsiTheme="minorHAnsi" w:cstheme="minorHAnsi"/>
                <w:bCs/>
                <w:sz w:val="20"/>
                <w:szCs w:val="20"/>
              </w:rPr>
              <w:t xml:space="preserve">/interpretation by non-health care experts.  </w:t>
            </w:r>
          </w:p>
          <w:p w:rsidR="00CD4C23" w:rsidRPr="00CD4C23" w:rsidRDefault="00CD4C23" w:rsidP="00CD4C23">
            <w:pPr>
              <w:pStyle w:val="ListParagraph"/>
              <w:numPr>
                <w:ilvl w:val="0"/>
                <w:numId w:val="4"/>
              </w:numPr>
              <w:autoSpaceDE w:val="0"/>
              <w:autoSpaceDN w:val="0"/>
              <w:adjustRightInd w:val="0"/>
              <w:rPr>
                <w:rFonts w:asciiTheme="minorHAnsi" w:hAnsiTheme="minorHAnsi" w:cstheme="minorHAnsi"/>
                <w:bCs/>
                <w:sz w:val="20"/>
                <w:szCs w:val="20"/>
              </w:rPr>
            </w:pPr>
            <w:r w:rsidRPr="00CD4C23">
              <w:rPr>
                <w:rFonts w:asciiTheme="minorHAnsi" w:hAnsiTheme="minorHAnsi" w:cstheme="minorHAnsi"/>
                <w:b/>
                <w:bCs/>
                <w:sz w:val="20"/>
                <w:szCs w:val="20"/>
              </w:rPr>
              <w:t xml:space="preserve">Quality of Curriculum: </w:t>
            </w:r>
            <w:r>
              <w:rPr>
                <w:rFonts w:asciiTheme="minorHAnsi" w:hAnsiTheme="minorHAnsi" w:cstheme="minorHAnsi"/>
                <w:bCs/>
                <w:sz w:val="20"/>
                <w:szCs w:val="20"/>
              </w:rPr>
              <w:t xml:space="preserve">  Would be helpful to also compare </w:t>
            </w:r>
            <w:r w:rsidRPr="00CD4C23">
              <w:rPr>
                <w:rFonts w:asciiTheme="minorHAnsi" w:hAnsiTheme="minorHAnsi" w:cstheme="minorHAnsi"/>
                <w:bCs/>
                <w:sz w:val="20"/>
                <w:szCs w:val="20"/>
              </w:rPr>
              <w:t>employme</w:t>
            </w:r>
            <w:r>
              <w:rPr>
                <w:rFonts w:asciiTheme="minorHAnsi" w:hAnsiTheme="minorHAnsi" w:cstheme="minorHAnsi"/>
                <w:bCs/>
                <w:sz w:val="20"/>
                <w:szCs w:val="20"/>
              </w:rPr>
              <w:t xml:space="preserve">nt numbers between institutions which </w:t>
            </w:r>
            <w:r w:rsidRPr="00CD4C23">
              <w:rPr>
                <w:rFonts w:asciiTheme="minorHAnsi" w:hAnsiTheme="minorHAnsi" w:cstheme="minorHAnsi"/>
                <w:bCs/>
                <w:sz w:val="20"/>
                <w:szCs w:val="20"/>
              </w:rPr>
              <w:t xml:space="preserve">could be another way to </w:t>
            </w:r>
            <w:r>
              <w:rPr>
                <w:rFonts w:asciiTheme="minorHAnsi" w:hAnsiTheme="minorHAnsi" w:cstheme="minorHAnsi"/>
                <w:bCs/>
                <w:sz w:val="20"/>
                <w:szCs w:val="20"/>
              </w:rPr>
              <w:t xml:space="preserve">demonstrate the success of </w:t>
            </w:r>
            <w:r w:rsidRPr="00CD4C23">
              <w:rPr>
                <w:rFonts w:asciiTheme="minorHAnsi" w:hAnsiTheme="minorHAnsi" w:cstheme="minorHAnsi"/>
                <w:bCs/>
                <w:sz w:val="20"/>
                <w:szCs w:val="20"/>
              </w:rPr>
              <w:t xml:space="preserve">CAC’s </w:t>
            </w:r>
            <w:r>
              <w:rPr>
                <w:rFonts w:asciiTheme="minorHAnsi" w:hAnsiTheme="minorHAnsi" w:cstheme="minorHAnsi"/>
                <w:bCs/>
                <w:sz w:val="20"/>
                <w:szCs w:val="20"/>
              </w:rPr>
              <w:t>program and its graduates.</w:t>
            </w:r>
          </w:p>
          <w:p w:rsidR="00CD4C23" w:rsidRPr="00CD4C23" w:rsidRDefault="00CD4C23" w:rsidP="00CD4C23">
            <w:pPr>
              <w:pStyle w:val="ListParagraph"/>
              <w:numPr>
                <w:ilvl w:val="0"/>
                <w:numId w:val="4"/>
              </w:numPr>
              <w:autoSpaceDE w:val="0"/>
              <w:autoSpaceDN w:val="0"/>
              <w:adjustRightInd w:val="0"/>
              <w:rPr>
                <w:rFonts w:asciiTheme="minorHAnsi" w:hAnsiTheme="minorHAnsi" w:cstheme="minorHAnsi"/>
                <w:b/>
                <w:bCs/>
                <w:sz w:val="20"/>
                <w:szCs w:val="20"/>
              </w:rPr>
            </w:pPr>
            <w:r w:rsidRPr="00CD4C23">
              <w:rPr>
                <w:rFonts w:asciiTheme="minorHAnsi" w:hAnsiTheme="minorHAnsi" w:cstheme="minorHAnsi"/>
                <w:b/>
                <w:bCs/>
                <w:sz w:val="20"/>
                <w:szCs w:val="20"/>
              </w:rPr>
              <w:t>Success of Students in Completing CAC Program:</w:t>
            </w:r>
            <w:r>
              <w:rPr>
                <w:rFonts w:asciiTheme="minorHAnsi" w:hAnsiTheme="minorHAnsi" w:cstheme="minorHAnsi"/>
                <w:b/>
                <w:bCs/>
                <w:sz w:val="20"/>
                <w:szCs w:val="20"/>
              </w:rPr>
              <w:t xml:space="preserve">  </w:t>
            </w:r>
            <w:r w:rsidRPr="00536242">
              <w:rPr>
                <w:rFonts w:asciiTheme="minorHAnsi" w:hAnsiTheme="minorHAnsi" w:cstheme="minorHAnsi"/>
                <w:bCs/>
                <w:sz w:val="20"/>
                <w:szCs w:val="20"/>
              </w:rPr>
              <w:t xml:space="preserve">Adding the percentage </w:t>
            </w:r>
            <w:r>
              <w:rPr>
                <w:rFonts w:asciiTheme="minorHAnsi" w:hAnsiTheme="minorHAnsi" w:cstheme="minorHAnsi"/>
                <w:bCs/>
                <w:sz w:val="20"/>
                <w:szCs w:val="20"/>
              </w:rPr>
              <w:t>rate which indicates the ratio of completers to non-completers would be informative</w:t>
            </w:r>
            <w:r w:rsidRPr="00536242">
              <w:rPr>
                <w:rFonts w:asciiTheme="minorHAnsi" w:hAnsiTheme="minorHAnsi" w:cstheme="minorHAnsi"/>
                <w:bCs/>
                <w:sz w:val="20"/>
                <w:szCs w:val="20"/>
              </w:rPr>
              <w:t>.</w:t>
            </w:r>
          </w:p>
          <w:p w:rsidR="00926684" w:rsidRPr="00344A72" w:rsidRDefault="00344A72" w:rsidP="009F0A07">
            <w:pPr>
              <w:pStyle w:val="ListParagraph"/>
              <w:numPr>
                <w:ilvl w:val="0"/>
                <w:numId w:val="4"/>
              </w:numPr>
              <w:autoSpaceDE w:val="0"/>
              <w:autoSpaceDN w:val="0"/>
              <w:adjustRightInd w:val="0"/>
              <w:rPr>
                <w:rFonts w:asciiTheme="minorHAnsi" w:hAnsiTheme="minorHAnsi" w:cstheme="minorHAnsi"/>
                <w:b/>
                <w:bCs/>
                <w:sz w:val="20"/>
                <w:szCs w:val="20"/>
              </w:rPr>
            </w:pPr>
            <w:r w:rsidRPr="007934DC">
              <w:rPr>
                <w:rFonts w:asciiTheme="minorHAnsi" w:hAnsiTheme="minorHAnsi" w:cstheme="minorHAnsi"/>
                <w:b/>
                <w:bCs/>
                <w:sz w:val="20"/>
                <w:szCs w:val="20"/>
              </w:rPr>
              <w:t>Success of Students Upon Departure from CAC:</w:t>
            </w:r>
            <w:r>
              <w:rPr>
                <w:rFonts w:asciiTheme="minorHAnsi" w:hAnsiTheme="minorHAnsi" w:cstheme="minorHAnsi"/>
                <w:b/>
                <w:bCs/>
                <w:sz w:val="20"/>
                <w:szCs w:val="20"/>
              </w:rPr>
              <w:t xml:space="preserve">  </w:t>
            </w:r>
            <w:r w:rsidRPr="00344A72">
              <w:rPr>
                <w:rFonts w:asciiTheme="minorHAnsi" w:hAnsiTheme="minorHAnsi" w:cstheme="minorHAnsi"/>
                <w:bCs/>
                <w:sz w:val="20"/>
                <w:szCs w:val="20"/>
              </w:rPr>
              <w:t>Initiating Post-Graduate Surveys to determine success of graduates not continuing studies with CAC would be useful.</w:t>
            </w:r>
          </w:p>
          <w:p w:rsidR="00344A72" w:rsidRPr="00344A72" w:rsidRDefault="00344A72" w:rsidP="00344A72">
            <w:pPr>
              <w:pStyle w:val="ListParagraph"/>
              <w:numPr>
                <w:ilvl w:val="0"/>
                <w:numId w:val="4"/>
              </w:num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w:t>
            </w:r>
            <w:r w:rsidRPr="00344A72">
              <w:rPr>
                <w:rFonts w:asciiTheme="minorHAnsi" w:hAnsiTheme="minorHAnsi" w:cstheme="minorHAnsi"/>
                <w:b/>
                <w:bCs/>
                <w:sz w:val="20"/>
                <w:szCs w:val="20"/>
              </w:rPr>
              <w:t>valuation of Enrollment Trends:</w:t>
            </w:r>
            <w:r>
              <w:rPr>
                <w:rFonts w:asciiTheme="minorHAnsi" w:hAnsiTheme="minorHAnsi" w:cstheme="minorHAnsi"/>
                <w:b/>
                <w:bCs/>
                <w:sz w:val="20"/>
                <w:szCs w:val="20"/>
              </w:rPr>
              <w:t xml:space="preserve">  </w:t>
            </w:r>
            <w:r w:rsidRPr="00344A72">
              <w:rPr>
                <w:rFonts w:asciiTheme="minorHAnsi" w:hAnsiTheme="minorHAnsi" w:cstheme="minorHAnsi"/>
                <w:bCs/>
                <w:sz w:val="20"/>
                <w:szCs w:val="20"/>
              </w:rPr>
              <w:t>It would be helpful to identify recruitment efforts</w:t>
            </w:r>
            <w:r>
              <w:rPr>
                <w:rFonts w:asciiTheme="minorHAnsi" w:hAnsiTheme="minorHAnsi" w:cstheme="minorHAnsi"/>
                <w:bCs/>
                <w:sz w:val="20"/>
                <w:szCs w:val="20"/>
              </w:rPr>
              <w:t>/strategies.</w:t>
            </w:r>
          </w:p>
          <w:p w:rsidR="00344A72" w:rsidRPr="00344A72" w:rsidRDefault="00344A72" w:rsidP="00344A72">
            <w:pPr>
              <w:pStyle w:val="ListParagraph"/>
              <w:numPr>
                <w:ilvl w:val="0"/>
                <w:numId w:val="4"/>
              </w:numPr>
              <w:autoSpaceDE w:val="0"/>
              <w:autoSpaceDN w:val="0"/>
              <w:adjustRightInd w:val="0"/>
              <w:rPr>
                <w:rFonts w:asciiTheme="minorHAnsi" w:hAnsiTheme="minorHAnsi" w:cstheme="minorHAnsi"/>
                <w:b/>
                <w:bCs/>
                <w:sz w:val="20"/>
                <w:szCs w:val="20"/>
              </w:rPr>
            </w:pPr>
            <w:r w:rsidRPr="00344A72">
              <w:rPr>
                <w:rFonts w:asciiTheme="minorHAnsi" w:hAnsiTheme="minorHAnsi" w:cstheme="minorHAnsi"/>
                <w:b/>
                <w:bCs/>
                <w:sz w:val="20"/>
                <w:szCs w:val="20"/>
              </w:rPr>
              <w:t>Evaluation of Need for Program Based on Economic/Job Market Conditions or Transfer Opportunities:</w:t>
            </w:r>
            <w:r>
              <w:rPr>
                <w:rFonts w:asciiTheme="minorHAnsi" w:hAnsiTheme="minorHAnsi" w:cstheme="minorHAnsi"/>
                <w:b/>
                <w:bCs/>
                <w:sz w:val="20"/>
                <w:szCs w:val="20"/>
              </w:rPr>
              <w:t xml:space="preserve">  </w:t>
            </w:r>
            <w:r w:rsidRPr="00344A72">
              <w:rPr>
                <w:rFonts w:asciiTheme="minorHAnsi" w:hAnsiTheme="minorHAnsi" w:cstheme="minorHAnsi"/>
                <w:bCs/>
                <w:sz w:val="20"/>
                <w:szCs w:val="20"/>
              </w:rPr>
              <w:t>Post-Graduate survey can include question to determine whether the program is meeting Pinal County specific needs</w:t>
            </w:r>
            <w:r>
              <w:rPr>
                <w:rFonts w:asciiTheme="minorHAnsi" w:hAnsiTheme="minorHAnsi" w:cstheme="minorHAnsi"/>
                <w:bCs/>
                <w:sz w:val="20"/>
                <w:szCs w:val="20"/>
              </w:rPr>
              <w:t>, as well as</w:t>
            </w:r>
            <w:r w:rsidR="00190335">
              <w:rPr>
                <w:rFonts w:asciiTheme="minorHAnsi" w:hAnsiTheme="minorHAnsi" w:cstheme="minorHAnsi"/>
                <w:bCs/>
                <w:sz w:val="20"/>
                <w:szCs w:val="20"/>
              </w:rPr>
              <w:t>,</w:t>
            </w:r>
            <w:r>
              <w:rPr>
                <w:rFonts w:asciiTheme="minorHAnsi" w:hAnsiTheme="minorHAnsi" w:cstheme="minorHAnsi"/>
                <w:bCs/>
                <w:sz w:val="20"/>
                <w:szCs w:val="20"/>
              </w:rPr>
              <w:t xml:space="preserve"> </w:t>
            </w:r>
            <w:r w:rsidR="00190335">
              <w:rPr>
                <w:rFonts w:asciiTheme="minorHAnsi" w:hAnsiTheme="minorHAnsi" w:cstheme="minorHAnsi"/>
                <w:bCs/>
                <w:sz w:val="20"/>
                <w:szCs w:val="20"/>
              </w:rPr>
              <w:t>local</w:t>
            </w:r>
            <w:r>
              <w:rPr>
                <w:rFonts w:asciiTheme="minorHAnsi" w:hAnsiTheme="minorHAnsi" w:cstheme="minorHAnsi"/>
                <w:bCs/>
                <w:sz w:val="20"/>
                <w:szCs w:val="20"/>
              </w:rPr>
              <w:t xml:space="preserve"> need for the program.</w:t>
            </w:r>
          </w:p>
          <w:p w:rsidR="00190335" w:rsidRPr="00190335" w:rsidRDefault="00190335" w:rsidP="00190335">
            <w:pPr>
              <w:pStyle w:val="ListParagraph"/>
              <w:numPr>
                <w:ilvl w:val="0"/>
                <w:numId w:val="4"/>
              </w:numPr>
              <w:autoSpaceDE w:val="0"/>
              <w:autoSpaceDN w:val="0"/>
              <w:adjustRightInd w:val="0"/>
              <w:rPr>
                <w:rFonts w:asciiTheme="minorHAnsi" w:hAnsiTheme="minorHAnsi" w:cstheme="minorHAnsi"/>
                <w:b/>
                <w:bCs/>
                <w:sz w:val="20"/>
                <w:szCs w:val="20"/>
              </w:rPr>
            </w:pPr>
            <w:r w:rsidRPr="00190335">
              <w:rPr>
                <w:rFonts w:asciiTheme="minorHAnsi" w:hAnsiTheme="minorHAnsi" w:cstheme="minorHAnsi"/>
                <w:b/>
                <w:bCs/>
                <w:sz w:val="20"/>
                <w:szCs w:val="20"/>
              </w:rPr>
              <w:t xml:space="preserve">Evaluation of Program Viability Based on Adequacy of Resources: </w:t>
            </w:r>
            <w:r>
              <w:rPr>
                <w:rFonts w:asciiTheme="minorHAnsi" w:hAnsiTheme="minorHAnsi" w:cstheme="minorHAnsi"/>
                <w:b/>
                <w:bCs/>
                <w:sz w:val="20"/>
                <w:szCs w:val="20"/>
              </w:rPr>
              <w:t xml:space="preserve"> </w:t>
            </w:r>
            <w:r>
              <w:rPr>
                <w:rFonts w:asciiTheme="minorHAnsi" w:hAnsiTheme="minorHAnsi" w:cstheme="minorHAnsi"/>
                <w:bCs/>
                <w:sz w:val="20"/>
                <w:szCs w:val="20"/>
              </w:rPr>
              <w:t>Staffing ne</w:t>
            </w:r>
            <w:r w:rsidRPr="00190335">
              <w:rPr>
                <w:rFonts w:asciiTheme="minorHAnsi" w:hAnsiTheme="minorHAnsi" w:cstheme="minorHAnsi"/>
                <w:bCs/>
                <w:sz w:val="20"/>
                <w:szCs w:val="20"/>
              </w:rPr>
              <w:t xml:space="preserve">ed </w:t>
            </w:r>
            <w:r>
              <w:rPr>
                <w:rFonts w:asciiTheme="minorHAnsi" w:hAnsiTheme="minorHAnsi" w:cstheme="minorHAnsi"/>
                <w:bCs/>
                <w:sz w:val="20"/>
                <w:szCs w:val="20"/>
              </w:rPr>
              <w:t>of immediate concern</w:t>
            </w:r>
            <w:r w:rsidRPr="00190335">
              <w:rPr>
                <w:rFonts w:asciiTheme="minorHAnsi" w:hAnsiTheme="minorHAnsi" w:cstheme="minorHAnsi"/>
                <w:bCs/>
                <w:sz w:val="20"/>
                <w:szCs w:val="20"/>
              </w:rPr>
              <w:t xml:space="preserve">.  </w:t>
            </w:r>
            <w:r>
              <w:rPr>
                <w:rFonts w:asciiTheme="minorHAnsi" w:hAnsiTheme="minorHAnsi" w:cstheme="minorHAnsi"/>
                <w:bCs/>
                <w:sz w:val="20"/>
                <w:szCs w:val="20"/>
              </w:rPr>
              <w:t>Recommend that staffing issue be addressed as soon as possible to avoid jeopardizing accreditation and quality of program.</w:t>
            </w:r>
          </w:p>
          <w:p w:rsidR="00190335" w:rsidRDefault="00190335" w:rsidP="00190335">
            <w:pPr>
              <w:autoSpaceDE w:val="0"/>
              <w:autoSpaceDN w:val="0"/>
              <w:adjustRightInd w:val="0"/>
              <w:rPr>
                <w:rFonts w:asciiTheme="minorHAnsi" w:hAnsiTheme="minorHAnsi" w:cstheme="minorHAnsi"/>
                <w:bCs/>
                <w:szCs w:val="24"/>
              </w:rPr>
            </w:pPr>
          </w:p>
          <w:p w:rsidR="00190335" w:rsidRPr="00190335" w:rsidRDefault="00190335" w:rsidP="00190335">
            <w:pPr>
              <w:autoSpaceDE w:val="0"/>
              <w:autoSpaceDN w:val="0"/>
              <w:adjustRightInd w:val="0"/>
              <w:rPr>
                <w:rFonts w:asciiTheme="minorHAnsi" w:hAnsiTheme="minorHAnsi" w:cstheme="minorHAnsi"/>
                <w:bCs/>
                <w:sz w:val="20"/>
                <w:szCs w:val="20"/>
              </w:rPr>
            </w:pPr>
            <w:r w:rsidRPr="00190335">
              <w:rPr>
                <w:rFonts w:asciiTheme="minorHAnsi" w:hAnsiTheme="minorHAnsi" w:cstheme="minorHAnsi"/>
                <w:bCs/>
                <w:sz w:val="20"/>
                <w:szCs w:val="20"/>
              </w:rPr>
              <w:t>Will want to review cost per program and cost effectiveness (institutional return on investment) at next review when comparative data is available.  Recommend maintaining measure(s) of success of students now being admitted after completing their general education requirements and the HESI prior to formal admission to the program.  Also suggest providing specialized orientation and registration for all formally admitted to the program each fall semester.</w:t>
            </w:r>
          </w:p>
          <w:p w:rsidR="00B80854" w:rsidRDefault="00B80854" w:rsidP="009F0A07">
            <w:pPr>
              <w:autoSpaceDE w:val="0"/>
              <w:autoSpaceDN w:val="0"/>
              <w:adjustRightInd w:val="0"/>
              <w:rPr>
                <w:rFonts w:asciiTheme="minorHAnsi" w:hAnsiTheme="minorHAnsi" w:cstheme="minorHAnsi"/>
                <w:b/>
                <w:bCs/>
                <w:szCs w:val="24"/>
              </w:rPr>
            </w:pPr>
          </w:p>
          <w:p w:rsidR="00926684" w:rsidRDefault="00B80854" w:rsidP="009F0A07">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Date:</w:t>
            </w:r>
            <w:r w:rsidR="00D36DB6">
              <w:rPr>
                <w:rFonts w:asciiTheme="minorHAnsi" w:hAnsiTheme="minorHAnsi" w:cstheme="minorHAnsi"/>
                <w:b/>
                <w:bCs/>
                <w:szCs w:val="24"/>
              </w:rPr>
              <w:t xml:space="preserve">  </w:t>
            </w:r>
            <w:r w:rsidR="00190335">
              <w:rPr>
                <w:rFonts w:asciiTheme="minorHAnsi" w:hAnsiTheme="minorHAnsi" w:cstheme="minorHAnsi"/>
                <w:b/>
                <w:bCs/>
                <w:szCs w:val="24"/>
              </w:rPr>
              <w:t>March 7, 2013</w:t>
            </w:r>
            <w:r w:rsidR="00D36DB6">
              <w:rPr>
                <w:rFonts w:asciiTheme="minorHAnsi" w:hAnsiTheme="minorHAnsi" w:cstheme="minorHAnsi"/>
                <w:b/>
                <w:bCs/>
                <w:szCs w:val="24"/>
              </w:rPr>
              <w:t xml:space="preserve">                                             </w:t>
            </w:r>
            <w:r w:rsidR="00FC230A">
              <w:rPr>
                <w:rFonts w:asciiTheme="minorHAnsi" w:hAnsiTheme="minorHAnsi" w:cstheme="minorHAnsi"/>
                <w:b/>
                <w:bCs/>
                <w:szCs w:val="24"/>
              </w:rPr>
              <w:t>Summary</w:t>
            </w:r>
            <w:r>
              <w:rPr>
                <w:rFonts w:asciiTheme="minorHAnsi" w:hAnsiTheme="minorHAnsi" w:cstheme="minorHAnsi"/>
                <w:b/>
                <w:bCs/>
                <w:szCs w:val="24"/>
              </w:rPr>
              <w:t xml:space="preserve"> by:</w:t>
            </w:r>
            <w:r w:rsidR="00D36DB6">
              <w:rPr>
                <w:rFonts w:asciiTheme="minorHAnsi" w:hAnsiTheme="minorHAnsi" w:cstheme="minorHAnsi"/>
                <w:b/>
                <w:bCs/>
                <w:szCs w:val="24"/>
              </w:rPr>
              <w:t xml:space="preserve"> Shari Eddy                                           </w:t>
            </w:r>
          </w:p>
          <w:p w:rsidR="00926684" w:rsidRDefault="00926684" w:rsidP="009F0A07">
            <w:pPr>
              <w:autoSpaceDE w:val="0"/>
              <w:autoSpaceDN w:val="0"/>
              <w:adjustRightInd w:val="0"/>
              <w:rPr>
                <w:rFonts w:asciiTheme="minorHAnsi" w:hAnsiTheme="minorHAnsi" w:cstheme="minorHAnsi"/>
                <w:b/>
                <w:bCs/>
                <w:szCs w:val="24"/>
              </w:rPr>
            </w:pPr>
          </w:p>
        </w:tc>
      </w:tr>
    </w:tbl>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FA59D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A9" w:rsidRDefault="00F33AA9" w:rsidP="00926684">
      <w:pPr>
        <w:spacing w:line="240" w:lineRule="auto"/>
      </w:pPr>
      <w:r>
        <w:separator/>
      </w:r>
    </w:p>
  </w:endnote>
  <w:endnote w:type="continuationSeparator" w:id="0">
    <w:p w:rsidR="00F33AA9" w:rsidRDefault="00F33AA9"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A9" w:rsidRDefault="00F33AA9" w:rsidP="00926684">
      <w:pPr>
        <w:spacing w:line="240" w:lineRule="auto"/>
      </w:pPr>
      <w:r>
        <w:separator/>
      </w:r>
    </w:p>
  </w:footnote>
  <w:footnote w:type="continuationSeparator" w:id="0">
    <w:p w:rsidR="00F33AA9" w:rsidRDefault="00F33AA9" w:rsidP="009266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5D5" w:rsidRPr="00B80854" w:rsidRDefault="009E45D5" w:rsidP="009E45D5">
    <w:pPr>
      <w:autoSpaceDE w:val="0"/>
      <w:autoSpaceDN w:val="0"/>
      <w:adjustRightInd w:val="0"/>
      <w:spacing w:line="240" w:lineRule="auto"/>
      <w:jc w:val="center"/>
      <w:rPr>
        <w:rFonts w:asciiTheme="minorHAnsi" w:hAnsiTheme="minorHAnsi" w:cstheme="minorHAnsi"/>
        <w:b/>
        <w:bCs/>
        <w:sz w:val="28"/>
        <w:szCs w:val="28"/>
      </w:rPr>
    </w:pPr>
    <w:r w:rsidRPr="00B80854">
      <w:rPr>
        <w:rFonts w:asciiTheme="minorHAnsi" w:hAnsiTheme="minorHAnsi" w:cstheme="minorHAnsi"/>
        <w:b/>
        <w:bCs/>
        <w:sz w:val="28"/>
        <w:szCs w:val="28"/>
      </w:rPr>
      <w:t>Academic Program Review</w:t>
    </w:r>
  </w:p>
  <w:p w:rsidR="009E45D5" w:rsidRPr="009E45D5" w:rsidRDefault="009E45D5" w:rsidP="009E45D5">
    <w:pPr>
      <w:autoSpaceDE w:val="0"/>
      <w:autoSpaceDN w:val="0"/>
      <w:adjustRightInd w:val="0"/>
      <w:spacing w:line="240" w:lineRule="auto"/>
      <w:jc w:val="center"/>
      <w:rPr>
        <w:rFonts w:asciiTheme="minorHAnsi" w:hAnsiTheme="minorHAnsi" w:cstheme="minorHAnsi"/>
        <w:b/>
        <w:bCs/>
        <w:szCs w:val="24"/>
      </w:rPr>
    </w:pPr>
    <w:r w:rsidRPr="00B80854">
      <w:rPr>
        <w:rFonts w:asciiTheme="minorHAnsi" w:hAnsiTheme="minorHAnsi" w:cstheme="minorHAnsi"/>
        <w:b/>
        <w:bCs/>
        <w:sz w:val="28"/>
        <w:szCs w:val="28"/>
      </w:rPr>
      <w:t>Review Panel Report</w:t>
    </w:r>
    <w:r>
      <w:rPr>
        <w:rFonts w:asciiTheme="minorHAnsi" w:hAnsiTheme="minorHAnsi" w:cstheme="minorHAnsi"/>
        <w:b/>
        <w:bCs/>
        <w:sz w:val="28"/>
        <w:szCs w:val="28"/>
      </w:rPr>
      <w:t xml:space="preserve">– </w:t>
    </w:r>
    <w:r w:rsidRPr="009E45D5">
      <w:rPr>
        <w:rFonts w:asciiTheme="minorHAnsi" w:hAnsiTheme="minorHAnsi" w:cstheme="minorHAnsi"/>
        <w:b/>
        <w:bCs/>
        <w:sz w:val="28"/>
        <w:szCs w:val="28"/>
      </w:rPr>
      <w:t>Medical Assistant AAS</w:t>
    </w:r>
  </w:p>
  <w:p w:rsidR="009E45D5" w:rsidRDefault="009E4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C299F"/>
    <w:multiLevelType w:val="hybridMultilevel"/>
    <w:tmpl w:val="68063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33461"/>
    <w:multiLevelType w:val="hybridMultilevel"/>
    <w:tmpl w:val="BC92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8D3098"/>
    <w:multiLevelType w:val="hybridMultilevel"/>
    <w:tmpl w:val="C2AA6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E6FCA"/>
    <w:multiLevelType w:val="hybridMultilevel"/>
    <w:tmpl w:val="309C30CA"/>
    <w:lvl w:ilvl="0" w:tplc="F328E7B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0A07"/>
    <w:rsid w:val="000376DC"/>
    <w:rsid w:val="000415A8"/>
    <w:rsid w:val="00073262"/>
    <w:rsid w:val="000E5A85"/>
    <w:rsid w:val="000E6F55"/>
    <w:rsid w:val="001572FD"/>
    <w:rsid w:val="0018018B"/>
    <w:rsid w:val="00183291"/>
    <w:rsid w:val="00190335"/>
    <w:rsid w:val="001F36B7"/>
    <w:rsid w:val="00214FAB"/>
    <w:rsid w:val="00265570"/>
    <w:rsid w:val="002B05A3"/>
    <w:rsid w:val="002E14C4"/>
    <w:rsid w:val="002E5815"/>
    <w:rsid w:val="00312B62"/>
    <w:rsid w:val="003373CF"/>
    <w:rsid w:val="00344A72"/>
    <w:rsid w:val="003550F6"/>
    <w:rsid w:val="003566A8"/>
    <w:rsid w:val="003A243C"/>
    <w:rsid w:val="003E773B"/>
    <w:rsid w:val="00432610"/>
    <w:rsid w:val="00470BBE"/>
    <w:rsid w:val="00495AF3"/>
    <w:rsid w:val="004B58B4"/>
    <w:rsid w:val="004B6BD5"/>
    <w:rsid w:val="004B6FD9"/>
    <w:rsid w:val="004D49F6"/>
    <w:rsid w:val="00501109"/>
    <w:rsid w:val="00521216"/>
    <w:rsid w:val="0055383C"/>
    <w:rsid w:val="0056797B"/>
    <w:rsid w:val="00635E38"/>
    <w:rsid w:val="00685B4E"/>
    <w:rsid w:val="006B59C0"/>
    <w:rsid w:val="006E5115"/>
    <w:rsid w:val="006F4ABE"/>
    <w:rsid w:val="00717BC5"/>
    <w:rsid w:val="0072111B"/>
    <w:rsid w:val="00765DCE"/>
    <w:rsid w:val="007934DC"/>
    <w:rsid w:val="007978BC"/>
    <w:rsid w:val="007A52DF"/>
    <w:rsid w:val="007C0B96"/>
    <w:rsid w:val="00814FB3"/>
    <w:rsid w:val="008A7239"/>
    <w:rsid w:val="008E45F4"/>
    <w:rsid w:val="00926684"/>
    <w:rsid w:val="009E45D5"/>
    <w:rsid w:val="009F0A07"/>
    <w:rsid w:val="00B50F47"/>
    <w:rsid w:val="00B623BE"/>
    <w:rsid w:val="00B80854"/>
    <w:rsid w:val="00BE1606"/>
    <w:rsid w:val="00BE1748"/>
    <w:rsid w:val="00C20A24"/>
    <w:rsid w:val="00C26B06"/>
    <w:rsid w:val="00C34234"/>
    <w:rsid w:val="00C47B47"/>
    <w:rsid w:val="00C834A3"/>
    <w:rsid w:val="00C97C23"/>
    <w:rsid w:val="00CD4C23"/>
    <w:rsid w:val="00D03F8E"/>
    <w:rsid w:val="00D36DB6"/>
    <w:rsid w:val="00D96891"/>
    <w:rsid w:val="00DB328D"/>
    <w:rsid w:val="00E34729"/>
    <w:rsid w:val="00E921EF"/>
    <w:rsid w:val="00EB054F"/>
    <w:rsid w:val="00ED37C5"/>
    <w:rsid w:val="00EF7F26"/>
    <w:rsid w:val="00F33AA9"/>
    <w:rsid w:val="00F84185"/>
    <w:rsid w:val="00FA59D9"/>
    <w:rsid w:val="00FC230A"/>
    <w:rsid w:val="00FC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2AC84-DCB8-498D-B15B-1F4A165B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semiHidden/>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26684"/>
  </w:style>
  <w:style w:type="paragraph" w:styleId="ListParagraph">
    <w:name w:val="List Paragraph"/>
    <w:basedOn w:val="Normal"/>
    <w:uiPriority w:val="34"/>
    <w:qFormat/>
    <w:rsid w:val="00D36DB6"/>
    <w:pPr>
      <w:ind w:left="720"/>
      <w:contextualSpacing/>
    </w:pPr>
  </w:style>
  <w:style w:type="paragraph" w:styleId="BalloonText">
    <w:name w:val="Balloon Text"/>
    <w:basedOn w:val="Normal"/>
    <w:link w:val="BalloonTextChar"/>
    <w:uiPriority w:val="99"/>
    <w:semiHidden/>
    <w:unhideWhenUsed/>
    <w:rsid w:val="009E45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01BAC-5825-445E-BC38-B52D6C976B88}">
  <ds:schemaRefs>
    <ds:schemaRef ds:uri="http://schemas.openxmlformats.org/officeDocument/2006/bibliography"/>
  </ds:schemaRefs>
</ds:datastoreItem>
</file>

<file path=customXml/itemProps2.xml><?xml version="1.0" encoding="utf-8"?>
<ds:datastoreItem xmlns:ds="http://schemas.openxmlformats.org/officeDocument/2006/customXml" ds:itemID="{2A385077-35AB-49C5-9B92-340B6038240B}"/>
</file>

<file path=customXml/itemProps3.xml><?xml version="1.0" encoding="utf-8"?>
<ds:datastoreItem xmlns:ds="http://schemas.openxmlformats.org/officeDocument/2006/customXml" ds:itemID="{475DF83F-98AC-48A0-BFD6-FD099246F76E}"/>
</file>

<file path=customXml/itemProps4.xml><?xml version="1.0" encoding="utf-8"?>
<ds:datastoreItem xmlns:ds="http://schemas.openxmlformats.org/officeDocument/2006/customXml" ds:itemID="{C2DCB0D0-23DA-40F7-BBF0-B1727933524D}"/>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Valerie Jensen</cp:lastModifiedBy>
  <cp:revision>2</cp:revision>
  <cp:lastPrinted>2013-03-07T17:07:00Z</cp:lastPrinted>
  <dcterms:created xsi:type="dcterms:W3CDTF">2014-09-19T00:02:00Z</dcterms:created>
  <dcterms:modified xsi:type="dcterms:W3CDTF">2014-09-19T00:02:00Z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